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52" w:rsidRDefault="00807652"/>
    <w:p w:rsidR="00807652" w:rsidRDefault="00807652"/>
    <w:p w:rsidR="00807652" w:rsidRPr="00043365" w:rsidRDefault="00807652" w:rsidP="00043365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365">
        <w:rPr>
          <w:rFonts w:ascii="Times New Roman" w:hAnsi="Times New Roman" w:cs="Times New Roman"/>
          <w:b/>
          <w:sz w:val="24"/>
          <w:szCs w:val="24"/>
        </w:rPr>
        <w:t>COUR D’APPEL DE PARIS</w:t>
      </w:r>
    </w:p>
    <w:p w:rsidR="00807652" w:rsidRPr="00043365" w:rsidRDefault="00807652" w:rsidP="00043365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365">
        <w:rPr>
          <w:rFonts w:ascii="Times New Roman" w:hAnsi="Times New Roman" w:cs="Times New Roman"/>
          <w:b/>
          <w:sz w:val="24"/>
          <w:szCs w:val="24"/>
        </w:rPr>
        <w:t>Pôle 2 – Chambre 2</w:t>
      </w:r>
    </w:p>
    <w:p w:rsidR="00807652" w:rsidRPr="00043365" w:rsidRDefault="00807652" w:rsidP="00043365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365">
        <w:rPr>
          <w:rFonts w:ascii="Times New Roman" w:hAnsi="Times New Roman" w:cs="Times New Roman"/>
          <w:b/>
          <w:sz w:val="24"/>
          <w:szCs w:val="24"/>
        </w:rPr>
        <w:t>ARRÊT DU 20 DÉCEMBRE 2018</w:t>
      </w:r>
    </w:p>
    <w:p w:rsidR="00043365" w:rsidRPr="00043365" w:rsidRDefault="00043365" w:rsidP="00043365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3365">
        <w:rPr>
          <w:rFonts w:ascii="Times New Roman" w:hAnsi="Times New Roman" w:cs="Times New Roman"/>
          <w:b/>
          <w:sz w:val="24"/>
          <w:szCs w:val="24"/>
        </w:rPr>
        <w:t>n</w:t>
      </w:r>
      <w:proofErr w:type="gramEnd"/>
      <w:r w:rsidRPr="00043365">
        <w:rPr>
          <w:rFonts w:ascii="Times New Roman" w:hAnsi="Times New Roman" w:cs="Times New Roman"/>
          <w:b/>
          <w:sz w:val="24"/>
          <w:szCs w:val="24"/>
        </w:rPr>
        <w:t xml:space="preserve">° </w:t>
      </w:r>
      <w:r w:rsidR="00807652" w:rsidRPr="00043365">
        <w:rPr>
          <w:rFonts w:ascii="Times New Roman" w:hAnsi="Times New Roman" w:cs="Times New Roman"/>
          <w:b/>
          <w:sz w:val="24"/>
          <w:szCs w:val="24"/>
        </w:rPr>
        <w:t>17/16092 </w:t>
      </w:r>
    </w:p>
    <w:p w:rsidR="00043365" w:rsidRDefault="00043365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43365" w:rsidRDefault="00043365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t>Décision déférée à la Cour : Jugement du 24 Février 2017 -Tribunal de Grande Instance d’EVRY – RG n° 15/03842</w:t>
      </w:r>
    </w:p>
    <w:p w:rsidR="00043365" w:rsidRDefault="00043365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07652" w:rsidRPr="00043365" w:rsidRDefault="00807652" w:rsidP="00807652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365">
        <w:rPr>
          <w:rFonts w:ascii="Times New Roman" w:hAnsi="Times New Roman" w:cs="Times New Roman"/>
          <w:b/>
          <w:sz w:val="24"/>
          <w:szCs w:val="24"/>
        </w:rPr>
        <w:t>APPELANTE</w:t>
      </w:r>
    </w:p>
    <w:p w:rsid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07652">
          <w:rPr>
            <w:rFonts w:ascii="Times New Roman" w:hAnsi="Times New Roman" w:cs="Times New Roman"/>
            <w:sz w:val="24"/>
            <w:szCs w:val="24"/>
          </w:rPr>
          <w:t>La SA LES RESIDENCES</w:t>
        </w:r>
      </w:hyperlink>
      <w:r w:rsidRPr="00807652">
        <w:rPr>
          <w:rFonts w:ascii="Times New Roman" w:hAnsi="Times New Roman" w:cs="Times New Roman"/>
          <w:sz w:val="24"/>
          <w:szCs w:val="24"/>
        </w:rPr>
        <w:t>, Société anonyme d’habitations à loyer modéré, venant aux droits de l’OPIEVOY, agissant en la personne de son représentant légal</w:t>
      </w:r>
    </w:p>
    <w:p w:rsidR="00043365" w:rsidRDefault="00043365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Représentée par Me Olivier HASCOET de la SARL </w:t>
      </w:r>
    </w:p>
    <w:p w:rsidR="00807652" w:rsidRPr="00043365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043365">
        <w:rPr>
          <w:rFonts w:ascii="Times New Roman" w:hAnsi="Times New Roman" w:cs="Times New Roman"/>
          <w:sz w:val="24"/>
          <w:szCs w:val="24"/>
        </w:rPr>
        <w:t xml:space="preserve">HAUSSMANN/KAINIC/HASCOET/HELAIN, avocat au </w:t>
      </w:r>
      <w:hyperlink r:id="rId6" w:history="1">
        <w:r w:rsidRPr="00043365">
          <w:rPr>
            <w:rFonts w:ascii="Times New Roman" w:hAnsi="Times New Roman" w:cs="Times New Roman"/>
            <w:sz w:val="24"/>
            <w:szCs w:val="24"/>
          </w:rPr>
          <w:t>barreau</w:t>
        </w:r>
      </w:hyperlink>
      <w:r w:rsidRPr="00043365">
        <w:rPr>
          <w:rFonts w:ascii="Times New Roman" w:hAnsi="Times New Roman" w:cs="Times New Roman"/>
          <w:sz w:val="24"/>
          <w:szCs w:val="24"/>
        </w:rPr>
        <w:t xml:space="preserve"> d’ESSONNE</w:t>
      </w:r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t>Assistée à l’</w:t>
      </w:r>
      <w:hyperlink r:id="rId7" w:history="1">
        <w:r w:rsidRPr="00807652">
          <w:rPr>
            <w:rFonts w:ascii="Times New Roman" w:hAnsi="Times New Roman" w:cs="Times New Roman"/>
            <w:sz w:val="24"/>
            <w:szCs w:val="24"/>
          </w:rPr>
          <w:t>audience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 Me Léa BOST, avocat au </w:t>
      </w:r>
      <w:hyperlink r:id="rId8" w:history="1">
        <w:r w:rsidRPr="00807652">
          <w:rPr>
            <w:rFonts w:ascii="Times New Roman" w:hAnsi="Times New Roman" w:cs="Times New Roman"/>
            <w:sz w:val="24"/>
            <w:szCs w:val="24"/>
          </w:rPr>
          <w:t>barreau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d’ESSONNE</w:t>
      </w:r>
    </w:p>
    <w:p w:rsidR="00043365" w:rsidRDefault="00043365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07652" w:rsidRPr="00043365" w:rsidRDefault="00807652" w:rsidP="00807652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365">
        <w:rPr>
          <w:rFonts w:ascii="Times New Roman" w:hAnsi="Times New Roman" w:cs="Times New Roman"/>
          <w:b/>
          <w:sz w:val="24"/>
          <w:szCs w:val="24"/>
        </w:rPr>
        <w:t>INTIMÉE</w:t>
      </w:r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t xml:space="preserve">La société </w:t>
      </w:r>
      <w:hyperlink r:id="rId9" w:history="1">
        <w:r w:rsidRPr="00807652">
          <w:rPr>
            <w:rFonts w:ascii="Times New Roman" w:hAnsi="Times New Roman" w:cs="Times New Roman"/>
            <w:sz w:val="24"/>
            <w:szCs w:val="24"/>
          </w:rPr>
          <w:t>ENEDIS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(anciennement dénommée 'ERDF'), prise en la personne de son représentant légal</w:t>
      </w:r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t>Représentée par Me </w:t>
      </w:r>
      <w:hyperlink r:id="rId10" w:history="1">
        <w:r w:rsidRPr="00807652">
          <w:rPr>
            <w:rFonts w:ascii="Times New Roman" w:hAnsi="Times New Roman" w:cs="Times New Roman"/>
            <w:sz w:val="24"/>
            <w:szCs w:val="24"/>
          </w:rPr>
          <w:t>François TRECOURT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 la </w:t>
      </w:r>
      <w:hyperlink r:id="rId11" w:history="1">
        <w:r w:rsidRPr="00807652">
          <w:rPr>
            <w:rFonts w:ascii="Times New Roman" w:hAnsi="Times New Roman" w:cs="Times New Roman"/>
            <w:sz w:val="24"/>
            <w:szCs w:val="24"/>
          </w:rPr>
          <w:t>SELASU TRECOURT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, avocat au </w:t>
      </w:r>
      <w:hyperlink r:id="rId12" w:history="1">
        <w:r w:rsidRPr="00807652">
          <w:rPr>
            <w:rFonts w:ascii="Times New Roman" w:hAnsi="Times New Roman" w:cs="Times New Roman"/>
            <w:sz w:val="24"/>
            <w:szCs w:val="24"/>
          </w:rPr>
          <w:t>barreau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 PARIS, toque : A0510</w:t>
      </w:r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t>Assistée à l’</w:t>
      </w:r>
      <w:hyperlink r:id="rId13" w:history="1">
        <w:r w:rsidRPr="00807652">
          <w:rPr>
            <w:rFonts w:ascii="Times New Roman" w:hAnsi="Times New Roman" w:cs="Times New Roman"/>
            <w:sz w:val="24"/>
            <w:szCs w:val="24"/>
          </w:rPr>
          <w:t>audience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 Me </w:t>
      </w:r>
      <w:hyperlink r:id="rId14" w:history="1">
        <w:r w:rsidRPr="00807652">
          <w:rPr>
            <w:rFonts w:ascii="Times New Roman" w:hAnsi="Times New Roman" w:cs="Times New Roman"/>
            <w:sz w:val="24"/>
            <w:szCs w:val="24"/>
          </w:rPr>
          <w:t>Lola CHUNET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, avocat au </w:t>
      </w:r>
      <w:hyperlink r:id="rId15" w:history="1">
        <w:r w:rsidRPr="00807652">
          <w:rPr>
            <w:rFonts w:ascii="Times New Roman" w:hAnsi="Times New Roman" w:cs="Times New Roman"/>
            <w:sz w:val="24"/>
            <w:szCs w:val="24"/>
          </w:rPr>
          <w:t>barreau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 PARIS, toque : A0510</w:t>
      </w:r>
    </w:p>
    <w:p w:rsidR="00043365" w:rsidRDefault="00043365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043365">
        <w:rPr>
          <w:rFonts w:ascii="Times New Roman" w:hAnsi="Times New Roman" w:cs="Times New Roman"/>
          <w:b/>
          <w:sz w:val="24"/>
          <w:szCs w:val="24"/>
        </w:rPr>
        <w:t>COMPOSITION DE LA COUR</w:t>
      </w:r>
      <w:r w:rsidRPr="00807652">
        <w:rPr>
          <w:rFonts w:ascii="Times New Roman" w:hAnsi="Times New Roman" w:cs="Times New Roman"/>
          <w:sz w:val="24"/>
          <w:szCs w:val="24"/>
        </w:rPr>
        <w:t> :</w:t>
      </w:r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t xml:space="preserve">L’affaire a été débattue le 22 Novembre 2018, en </w:t>
      </w:r>
      <w:hyperlink r:id="rId16" w:history="1">
        <w:r w:rsidRPr="00807652">
          <w:rPr>
            <w:rFonts w:ascii="Times New Roman" w:hAnsi="Times New Roman" w:cs="Times New Roman"/>
            <w:sz w:val="24"/>
            <w:szCs w:val="24"/>
          </w:rPr>
          <w:t>audience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publique, devant la cour composée de :</w:t>
      </w:r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t xml:space="preserve">Madame Marie-Hélène POINSEAUX, présidente de </w:t>
      </w:r>
      <w:hyperlink r:id="rId17" w:history="1">
        <w:r w:rsidRPr="00807652">
          <w:rPr>
            <w:rFonts w:ascii="Times New Roman" w:hAnsi="Times New Roman" w:cs="Times New Roman"/>
            <w:sz w:val="24"/>
            <w:szCs w:val="24"/>
          </w:rPr>
          <w:t>chambre</w:t>
        </w:r>
      </w:hyperlink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t>Madame Patricia LEFEVRE, conseillère</w:t>
      </w:r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t>Madame Marie-José BOU, conseillère</w:t>
      </w:r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t xml:space="preserve">qui en ont </w:t>
      </w:r>
      <w:hyperlink r:id="rId18" w:history="1">
        <w:r w:rsidRPr="00807652">
          <w:rPr>
            <w:rFonts w:ascii="Times New Roman" w:hAnsi="Times New Roman" w:cs="Times New Roman"/>
            <w:sz w:val="24"/>
            <w:szCs w:val="24"/>
          </w:rPr>
          <w:t>délibéré</w:t>
        </w:r>
      </w:hyperlink>
      <w:r w:rsidRPr="00807652">
        <w:rPr>
          <w:rFonts w:ascii="Times New Roman" w:hAnsi="Times New Roman" w:cs="Times New Roman"/>
          <w:sz w:val="24"/>
          <w:szCs w:val="24"/>
        </w:rPr>
        <w:t>, un rapport a été présenté à l’</w:t>
      </w:r>
      <w:hyperlink r:id="rId19" w:history="1">
        <w:r w:rsidRPr="00807652">
          <w:rPr>
            <w:rFonts w:ascii="Times New Roman" w:hAnsi="Times New Roman" w:cs="Times New Roman"/>
            <w:sz w:val="24"/>
            <w:szCs w:val="24"/>
          </w:rPr>
          <w:t>audience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par Madame Patricia LEFEVRE, conseillère dans les conditions prévues par l’article </w:t>
      </w:r>
      <w:hyperlink r:id="rId20" w:history="1">
        <w:r w:rsidRPr="00807652">
          <w:rPr>
            <w:rFonts w:ascii="Times New Roman" w:hAnsi="Times New Roman" w:cs="Times New Roman"/>
            <w:sz w:val="24"/>
            <w:szCs w:val="24"/>
          </w:rPr>
          <w:t>785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 du </w:t>
      </w:r>
      <w:hyperlink r:id="rId21" w:history="1">
        <w:r w:rsidRPr="00807652">
          <w:rPr>
            <w:rFonts w:ascii="Times New Roman" w:hAnsi="Times New Roman" w:cs="Times New Roman"/>
            <w:sz w:val="24"/>
            <w:szCs w:val="24"/>
          </w:rPr>
          <w:t>code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 </w:t>
      </w:r>
      <w:hyperlink r:id="rId22" w:history="1">
        <w:r w:rsidRPr="00807652">
          <w:rPr>
            <w:rFonts w:ascii="Times New Roman" w:hAnsi="Times New Roman" w:cs="Times New Roman"/>
            <w:sz w:val="24"/>
            <w:szCs w:val="24"/>
          </w:rPr>
          <w:t>procédure civile</w:t>
        </w:r>
      </w:hyperlink>
      <w:r w:rsidRPr="00807652">
        <w:rPr>
          <w:rFonts w:ascii="Times New Roman" w:hAnsi="Times New Roman" w:cs="Times New Roman"/>
          <w:sz w:val="24"/>
          <w:szCs w:val="24"/>
        </w:rPr>
        <w:t>.</w:t>
      </w:r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t xml:space="preserve">Greffière, lors des </w:t>
      </w:r>
      <w:hyperlink r:id="rId23" w:history="1">
        <w:r w:rsidRPr="00807652">
          <w:rPr>
            <w:rFonts w:ascii="Times New Roman" w:hAnsi="Times New Roman" w:cs="Times New Roman"/>
            <w:sz w:val="24"/>
            <w:szCs w:val="24"/>
          </w:rPr>
          <w:t>débats</w:t>
        </w:r>
      </w:hyperlink>
      <w:r w:rsidRPr="00807652">
        <w:rPr>
          <w:rFonts w:ascii="Times New Roman" w:hAnsi="Times New Roman" w:cs="Times New Roman"/>
          <w:sz w:val="24"/>
          <w:szCs w:val="24"/>
        </w:rPr>
        <w:t> : Madame X-Y Z</w:t>
      </w:r>
    </w:p>
    <w:p w:rsidR="00043365" w:rsidRDefault="00043365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07652" w:rsidRPr="00043365" w:rsidRDefault="00807652" w:rsidP="00807652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365">
        <w:rPr>
          <w:rFonts w:ascii="Times New Roman" w:hAnsi="Times New Roman" w:cs="Times New Roman"/>
          <w:b/>
          <w:sz w:val="24"/>
          <w:szCs w:val="24"/>
        </w:rPr>
        <w:t>ARRÊT :</w:t>
      </w:r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t>— </w:t>
      </w:r>
      <w:hyperlink r:id="rId24" w:history="1">
        <w:r w:rsidRPr="00807652">
          <w:rPr>
            <w:rFonts w:ascii="Times New Roman" w:hAnsi="Times New Roman" w:cs="Times New Roman"/>
            <w:sz w:val="24"/>
            <w:szCs w:val="24"/>
          </w:rPr>
          <w:t>contradictoire</w:t>
        </w:r>
      </w:hyperlink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t>— par mise à disposition de l’</w:t>
      </w:r>
      <w:hyperlink r:id="rId25" w:history="1">
        <w:r w:rsidRPr="00807652">
          <w:rPr>
            <w:rFonts w:ascii="Times New Roman" w:hAnsi="Times New Roman" w:cs="Times New Roman"/>
            <w:sz w:val="24"/>
            <w:szCs w:val="24"/>
          </w:rPr>
          <w:t>arrêt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au greffe de la cour, les parties en ayant été préalablement avisées dans les conditions prévues au deuxième alinéa de l’article </w:t>
      </w:r>
      <w:hyperlink r:id="rId26" w:history="1">
        <w:r w:rsidRPr="00807652">
          <w:rPr>
            <w:rFonts w:ascii="Times New Roman" w:hAnsi="Times New Roman" w:cs="Times New Roman"/>
            <w:sz w:val="24"/>
            <w:szCs w:val="24"/>
          </w:rPr>
          <w:t>450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 du </w:t>
      </w:r>
      <w:hyperlink r:id="rId27" w:history="1">
        <w:r w:rsidRPr="00807652">
          <w:rPr>
            <w:rFonts w:ascii="Times New Roman" w:hAnsi="Times New Roman" w:cs="Times New Roman"/>
            <w:sz w:val="24"/>
            <w:szCs w:val="24"/>
          </w:rPr>
          <w:t>code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 </w:t>
      </w:r>
      <w:hyperlink r:id="rId28" w:history="1">
        <w:r w:rsidRPr="00807652">
          <w:rPr>
            <w:rFonts w:ascii="Times New Roman" w:hAnsi="Times New Roman" w:cs="Times New Roman"/>
            <w:sz w:val="24"/>
            <w:szCs w:val="24"/>
          </w:rPr>
          <w:t>procédure civile</w:t>
        </w:r>
      </w:hyperlink>
      <w:r w:rsidRPr="00807652">
        <w:rPr>
          <w:rFonts w:ascii="Times New Roman" w:hAnsi="Times New Roman" w:cs="Times New Roman"/>
          <w:sz w:val="24"/>
          <w:szCs w:val="24"/>
        </w:rPr>
        <w:t>.</w:t>
      </w:r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t xml:space="preserve">— signé par Madame Marie-Hélène POINSEAUX, présidente de </w:t>
      </w:r>
      <w:hyperlink r:id="rId29" w:history="1">
        <w:r w:rsidRPr="00807652">
          <w:rPr>
            <w:rFonts w:ascii="Times New Roman" w:hAnsi="Times New Roman" w:cs="Times New Roman"/>
            <w:sz w:val="24"/>
            <w:szCs w:val="24"/>
          </w:rPr>
          <w:t>chambre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et par Madame X-Y Z, greffière présente lors du prononcé.</w:t>
      </w:r>
    </w:p>
    <w:p w:rsidR="00043365" w:rsidRDefault="00043365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t xml:space="preserve">L’Office public d’aménagement et de construction interdépartemental de l’Essonne, du Val d’Oise et des Yvelines est propriétaire d’un ensemble de logements locatifs, garages et parkings dénommé résidence des </w:t>
      </w:r>
      <w:proofErr w:type="spellStart"/>
      <w:r w:rsidRPr="00807652">
        <w:rPr>
          <w:rFonts w:ascii="Times New Roman" w:hAnsi="Times New Roman" w:cs="Times New Roman"/>
          <w:sz w:val="24"/>
          <w:szCs w:val="24"/>
        </w:rPr>
        <w:t>Tarterêts</w:t>
      </w:r>
      <w:proofErr w:type="spellEnd"/>
      <w:r w:rsidRPr="00807652">
        <w:rPr>
          <w:rFonts w:ascii="Times New Roman" w:hAnsi="Times New Roman" w:cs="Times New Roman"/>
          <w:sz w:val="24"/>
          <w:szCs w:val="24"/>
        </w:rPr>
        <w:t>, et situé notamment rue Racine et rue La Bruyère à Corbeil-Essonnes.</w:t>
      </w:r>
    </w:p>
    <w:p w:rsidR="00043365" w:rsidRPr="00807652" w:rsidRDefault="00043365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lastRenderedPageBreak/>
        <w:t xml:space="preserve">Ces logements sont, depuis la </w:t>
      </w:r>
      <w:hyperlink r:id="rId30" w:history="1">
        <w:r w:rsidRPr="00807652">
          <w:rPr>
            <w:rFonts w:ascii="Times New Roman" w:hAnsi="Times New Roman" w:cs="Times New Roman"/>
            <w:sz w:val="24"/>
            <w:szCs w:val="24"/>
          </w:rPr>
          <w:t>signature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d’une convention en date du 24 décembre 1987 entre le bailleur social et l’Etat, placés sous le régime des logements locatifs conventionnés prévus aux articles </w:t>
      </w:r>
      <w:hyperlink r:id="rId31" w:history="1">
        <w:r w:rsidRPr="00807652">
          <w:rPr>
            <w:rFonts w:ascii="Times New Roman" w:hAnsi="Times New Roman" w:cs="Times New Roman"/>
            <w:sz w:val="24"/>
            <w:szCs w:val="24"/>
          </w:rPr>
          <w:t>L. 353-1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 et suivants du </w:t>
      </w:r>
      <w:hyperlink r:id="rId32" w:history="1">
        <w:r w:rsidRPr="00807652">
          <w:rPr>
            <w:rFonts w:ascii="Times New Roman" w:hAnsi="Times New Roman" w:cs="Times New Roman"/>
            <w:sz w:val="24"/>
            <w:szCs w:val="24"/>
          </w:rPr>
          <w:t>code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 la construction et de l’habitat.</w:t>
      </w:r>
    </w:p>
    <w:p w:rsidR="00043365" w:rsidRDefault="00043365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t xml:space="preserve">Suivant délibération du 9 mai 2007, le conseil municipal de la </w:t>
      </w:r>
      <w:hyperlink r:id="rId33" w:history="1">
        <w:r w:rsidRPr="00807652">
          <w:rPr>
            <w:rFonts w:ascii="Times New Roman" w:hAnsi="Times New Roman" w:cs="Times New Roman"/>
            <w:sz w:val="24"/>
            <w:szCs w:val="24"/>
          </w:rPr>
          <w:t>commune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a transféré ses compétences de </w:t>
      </w:r>
      <w:hyperlink r:id="rId34" w:history="1">
        <w:r w:rsidRPr="00807652">
          <w:rPr>
            <w:rFonts w:ascii="Times New Roman" w:hAnsi="Times New Roman" w:cs="Times New Roman"/>
            <w:sz w:val="24"/>
            <w:szCs w:val="24"/>
          </w:rPr>
          <w:t>distribution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du gaz et de l’électricité au Syndicat intercommunal d’assainissement et de restauration des cours d’eau (SIARCE) qui, par convention en date du 28 mars 2008, a confié l’exploitation des réseaux de </w:t>
      </w:r>
      <w:hyperlink r:id="rId35" w:history="1">
        <w:r w:rsidRPr="00807652">
          <w:rPr>
            <w:rFonts w:ascii="Times New Roman" w:hAnsi="Times New Roman" w:cs="Times New Roman"/>
            <w:sz w:val="24"/>
            <w:szCs w:val="24"/>
          </w:rPr>
          <w:t>distribution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à la société ERDF (désormais dénommée </w:t>
      </w:r>
      <w:hyperlink r:id="rId36" w:history="1">
        <w:r w:rsidRPr="00807652">
          <w:rPr>
            <w:rFonts w:ascii="Times New Roman" w:hAnsi="Times New Roman" w:cs="Times New Roman"/>
            <w:sz w:val="24"/>
            <w:szCs w:val="24"/>
          </w:rPr>
          <w:t>ENEDIS</w:t>
        </w:r>
      </w:hyperlink>
      <w:r w:rsidRPr="00807652">
        <w:rPr>
          <w:rFonts w:ascii="Times New Roman" w:hAnsi="Times New Roman" w:cs="Times New Roman"/>
          <w:sz w:val="24"/>
          <w:szCs w:val="24"/>
        </w:rPr>
        <w:t>).</w:t>
      </w:r>
    </w:p>
    <w:p w:rsidR="00043365" w:rsidRDefault="00043365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t xml:space="preserve">Un incendie a endommagé les colonnes montantes des immeubles des […] et 4, 5 et […], et après une </w:t>
      </w:r>
      <w:hyperlink r:id="rId37" w:history="1">
        <w:r w:rsidRPr="00807652">
          <w:rPr>
            <w:rFonts w:ascii="Times New Roman" w:hAnsi="Times New Roman" w:cs="Times New Roman"/>
            <w:sz w:val="24"/>
            <w:szCs w:val="24"/>
          </w:rPr>
          <w:t>intervention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en urgence de la société ERDF pour mettre en sécurité ces ouvrages, l’office public a, par courrier du 20 octobre 2014, invité cette société à procéder aux travaux de renouvellement des colonnes montantes de </w:t>
      </w:r>
      <w:hyperlink r:id="rId38" w:history="1">
        <w:r w:rsidRPr="00807652">
          <w:rPr>
            <w:rFonts w:ascii="Times New Roman" w:hAnsi="Times New Roman" w:cs="Times New Roman"/>
            <w:sz w:val="24"/>
            <w:szCs w:val="24"/>
          </w:rPr>
          <w:t>Les résidences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des </w:t>
      </w:r>
      <w:proofErr w:type="spellStart"/>
      <w:r w:rsidRPr="00807652">
        <w:rPr>
          <w:rFonts w:ascii="Times New Roman" w:hAnsi="Times New Roman" w:cs="Times New Roman"/>
          <w:sz w:val="24"/>
          <w:szCs w:val="24"/>
        </w:rPr>
        <w:t>Tarterêts</w:t>
      </w:r>
      <w:proofErr w:type="spellEnd"/>
      <w:r w:rsidRPr="00807652">
        <w:rPr>
          <w:rFonts w:ascii="Times New Roman" w:hAnsi="Times New Roman" w:cs="Times New Roman"/>
          <w:sz w:val="24"/>
          <w:szCs w:val="24"/>
        </w:rPr>
        <w:t xml:space="preserve"> au 13 et […] et au 6 et […].</w:t>
      </w:r>
    </w:p>
    <w:p w:rsidR="00043365" w:rsidRPr="00807652" w:rsidRDefault="00043365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t xml:space="preserve">La société ERDF a refusé de procéder à ces travaux, faisant valoir que les colonnes montantes en question ne faisaient pas </w:t>
      </w:r>
      <w:hyperlink r:id="rId39" w:history="1">
        <w:r w:rsidRPr="00807652">
          <w:rPr>
            <w:rFonts w:ascii="Times New Roman" w:hAnsi="Times New Roman" w:cs="Times New Roman"/>
            <w:sz w:val="24"/>
            <w:szCs w:val="24"/>
          </w:rPr>
          <w:t>partie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des ouvrages en </w:t>
      </w:r>
      <w:hyperlink r:id="rId40" w:history="1">
        <w:r w:rsidRPr="00807652">
          <w:rPr>
            <w:rFonts w:ascii="Times New Roman" w:hAnsi="Times New Roman" w:cs="Times New Roman"/>
            <w:sz w:val="24"/>
            <w:szCs w:val="24"/>
          </w:rPr>
          <w:t>concession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mais appartenaient à la </w:t>
      </w:r>
      <w:hyperlink r:id="rId41" w:history="1">
        <w:r w:rsidRPr="00807652">
          <w:rPr>
            <w:rFonts w:ascii="Times New Roman" w:hAnsi="Times New Roman" w:cs="Times New Roman"/>
            <w:sz w:val="24"/>
            <w:szCs w:val="24"/>
          </w:rPr>
          <w:t>copropriété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et que dès lors, tous travaux sur les colonnes électriques ainsi que leur entretien sont à la </w:t>
      </w:r>
      <w:hyperlink r:id="rId42" w:history="1">
        <w:r w:rsidRPr="00807652">
          <w:rPr>
            <w:rFonts w:ascii="Times New Roman" w:hAnsi="Times New Roman" w:cs="Times New Roman"/>
            <w:sz w:val="24"/>
            <w:szCs w:val="24"/>
          </w:rPr>
          <w:t>charge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et sous la responsabilité de leur propriétaire, ce, conformément au cahier des charges de </w:t>
      </w:r>
      <w:hyperlink r:id="rId43" w:history="1">
        <w:r w:rsidRPr="00807652">
          <w:rPr>
            <w:rFonts w:ascii="Times New Roman" w:hAnsi="Times New Roman" w:cs="Times New Roman"/>
            <w:sz w:val="24"/>
            <w:szCs w:val="24"/>
          </w:rPr>
          <w:t>concession</w:t>
        </w:r>
      </w:hyperlink>
      <w:r w:rsidRPr="00807652">
        <w:rPr>
          <w:rFonts w:ascii="Times New Roman" w:hAnsi="Times New Roman" w:cs="Times New Roman"/>
          <w:sz w:val="24"/>
          <w:szCs w:val="24"/>
        </w:rPr>
        <w:t>.</w:t>
      </w:r>
    </w:p>
    <w:p w:rsidR="00043365" w:rsidRDefault="00043365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t xml:space="preserve">C’est dans ce contexte que, par acte extra-judiciaire en date du 17 avril 2015, l’office public a fait assigner la société ERDF devant le tribunal de grande </w:t>
      </w:r>
      <w:hyperlink r:id="rId44" w:history="1">
        <w:r w:rsidRPr="00807652">
          <w:rPr>
            <w:rFonts w:ascii="Times New Roman" w:hAnsi="Times New Roman" w:cs="Times New Roman"/>
            <w:sz w:val="24"/>
            <w:szCs w:val="24"/>
          </w:rPr>
          <w:t>instance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d’Evry afin d’obtenir que la société gestionnaire du réseau soit condamnée à procéder aux travaux de remise en état des colonnes montantes des immeubles situés […] et 4, 5 et […].</w:t>
      </w:r>
    </w:p>
    <w:p w:rsidR="00043365" w:rsidRDefault="00043365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t xml:space="preserve">Par jugement en date du 24 février 2017, le tribunal a débouté l’office public de ses demandes, le condamnant à payer à la société </w:t>
      </w:r>
      <w:hyperlink r:id="rId45" w:history="1">
        <w:r w:rsidRPr="00807652">
          <w:rPr>
            <w:rFonts w:ascii="Times New Roman" w:hAnsi="Times New Roman" w:cs="Times New Roman"/>
            <w:sz w:val="24"/>
            <w:szCs w:val="24"/>
          </w:rPr>
          <w:t>ENEDIS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(anciennement dénommée ERDF) la somme de 2 000 euros en application de l’article </w:t>
      </w:r>
      <w:hyperlink r:id="rId46" w:history="1">
        <w:r w:rsidRPr="00807652">
          <w:rPr>
            <w:rFonts w:ascii="Times New Roman" w:hAnsi="Times New Roman" w:cs="Times New Roman"/>
            <w:sz w:val="24"/>
            <w:szCs w:val="24"/>
          </w:rPr>
          <w:t>700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 du </w:t>
      </w:r>
      <w:hyperlink r:id="rId47" w:history="1">
        <w:r w:rsidRPr="00807652">
          <w:rPr>
            <w:rFonts w:ascii="Times New Roman" w:hAnsi="Times New Roman" w:cs="Times New Roman"/>
            <w:sz w:val="24"/>
            <w:szCs w:val="24"/>
          </w:rPr>
          <w:t>code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 </w:t>
      </w:r>
      <w:hyperlink r:id="rId48" w:history="1">
        <w:r w:rsidRPr="00807652">
          <w:rPr>
            <w:rFonts w:ascii="Times New Roman" w:hAnsi="Times New Roman" w:cs="Times New Roman"/>
            <w:sz w:val="24"/>
            <w:szCs w:val="24"/>
          </w:rPr>
          <w:t>procédure civile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et aux </w:t>
      </w:r>
      <w:hyperlink r:id="rId49" w:history="1">
        <w:r w:rsidRPr="00807652">
          <w:rPr>
            <w:rFonts w:ascii="Times New Roman" w:hAnsi="Times New Roman" w:cs="Times New Roman"/>
            <w:sz w:val="24"/>
            <w:szCs w:val="24"/>
          </w:rPr>
          <w:t>dépens</w:t>
        </w:r>
      </w:hyperlink>
      <w:r w:rsidRPr="00807652">
        <w:rPr>
          <w:rFonts w:ascii="Times New Roman" w:hAnsi="Times New Roman" w:cs="Times New Roman"/>
          <w:sz w:val="24"/>
          <w:szCs w:val="24"/>
        </w:rPr>
        <w:t>, rejetant toute autre demande plus ample ou contraire.</w:t>
      </w:r>
    </w:p>
    <w:p w:rsidR="00043365" w:rsidRDefault="00043365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t xml:space="preserve">La </w:t>
      </w:r>
      <w:hyperlink r:id="rId50" w:history="1">
        <w:r w:rsidRPr="00807652">
          <w:rPr>
            <w:rFonts w:ascii="Times New Roman" w:hAnsi="Times New Roman" w:cs="Times New Roman"/>
            <w:sz w:val="24"/>
            <w:szCs w:val="24"/>
          </w:rPr>
          <w:t>société anonyme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d’habitations à loyer modéré </w:t>
      </w:r>
      <w:hyperlink r:id="rId51" w:history="1">
        <w:r w:rsidRPr="00807652">
          <w:rPr>
            <w:rFonts w:ascii="Times New Roman" w:hAnsi="Times New Roman" w:cs="Times New Roman"/>
            <w:sz w:val="24"/>
            <w:szCs w:val="24"/>
          </w:rPr>
          <w:t>Les résidences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(disant venir aux droits de l’Office public d’aménagement et de construction interdépartemental de l’Essonne, du Val d’Oise et des Yvelines) a relevé </w:t>
      </w:r>
      <w:hyperlink r:id="rId52" w:history="1">
        <w:r w:rsidRPr="00807652">
          <w:rPr>
            <w:rFonts w:ascii="Times New Roman" w:hAnsi="Times New Roman" w:cs="Times New Roman"/>
            <w:sz w:val="24"/>
            <w:szCs w:val="24"/>
          </w:rPr>
          <w:t>appel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, le 7 août 2017 et aux termes de ses dernières </w:t>
      </w:r>
      <w:hyperlink r:id="rId53" w:history="1">
        <w:r w:rsidRPr="00807652">
          <w:rPr>
            <w:rFonts w:ascii="Times New Roman" w:hAnsi="Times New Roman" w:cs="Times New Roman"/>
            <w:sz w:val="24"/>
            <w:szCs w:val="24"/>
          </w:rPr>
          <w:t>conclusions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notifiées par voie électronique le 21 février 2018, elle demande à la cour, au </w:t>
      </w:r>
      <w:hyperlink r:id="rId54" w:history="1">
        <w:r w:rsidRPr="00807652">
          <w:rPr>
            <w:rFonts w:ascii="Times New Roman" w:hAnsi="Times New Roman" w:cs="Times New Roman"/>
            <w:sz w:val="24"/>
            <w:szCs w:val="24"/>
          </w:rPr>
          <w:t>visa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des articles </w:t>
      </w:r>
      <w:hyperlink r:id="rId55" w:history="1">
        <w:r w:rsidRPr="00807652">
          <w:rPr>
            <w:rFonts w:ascii="Times New Roman" w:hAnsi="Times New Roman" w:cs="Times New Roman"/>
            <w:sz w:val="24"/>
            <w:szCs w:val="24"/>
          </w:rPr>
          <w:t>L. 322-9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 et </w:t>
      </w:r>
      <w:hyperlink r:id="rId56" w:history="1">
        <w:r w:rsidRPr="00807652">
          <w:rPr>
            <w:rFonts w:ascii="Times New Roman" w:hAnsi="Times New Roman" w:cs="Times New Roman"/>
            <w:sz w:val="24"/>
            <w:szCs w:val="24"/>
          </w:rPr>
          <w:t>L. 341-2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 du </w:t>
      </w:r>
      <w:hyperlink r:id="rId57" w:history="1">
        <w:r w:rsidRPr="00807652">
          <w:rPr>
            <w:rFonts w:ascii="Times New Roman" w:hAnsi="Times New Roman" w:cs="Times New Roman"/>
            <w:sz w:val="24"/>
            <w:szCs w:val="24"/>
          </w:rPr>
          <w:t>code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 l’énergie, du </w:t>
      </w:r>
      <w:hyperlink r:id="rId58" w:history="1">
        <w:r w:rsidRPr="00807652">
          <w:rPr>
            <w:rFonts w:ascii="Times New Roman" w:hAnsi="Times New Roman" w:cs="Times New Roman"/>
            <w:sz w:val="24"/>
            <w:szCs w:val="24"/>
          </w:rPr>
          <w:t>décret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n°46-2503 du 8 novembre 1946, du </w:t>
      </w:r>
      <w:hyperlink r:id="rId59" w:history="1">
        <w:r w:rsidRPr="00807652">
          <w:rPr>
            <w:rFonts w:ascii="Times New Roman" w:hAnsi="Times New Roman" w:cs="Times New Roman"/>
            <w:sz w:val="24"/>
            <w:szCs w:val="24"/>
          </w:rPr>
          <w:t>décret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n°55-326 du 29 mars 1955, des recommandations du médiateur national de l’énergie des 10 juillet 2014 et 12 janvier 2018 et de l’article 15 de la convention de </w:t>
      </w:r>
      <w:hyperlink r:id="rId60" w:history="1">
        <w:r w:rsidRPr="00807652">
          <w:rPr>
            <w:rFonts w:ascii="Times New Roman" w:hAnsi="Times New Roman" w:cs="Times New Roman"/>
            <w:sz w:val="24"/>
            <w:szCs w:val="24"/>
          </w:rPr>
          <w:t>concession</w:t>
        </w:r>
      </w:hyperlink>
      <w:r w:rsidRPr="00807652">
        <w:rPr>
          <w:rFonts w:ascii="Times New Roman" w:hAnsi="Times New Roman" w:cs="Times New Roman"/>
          <w:sz w:val="24"/>
          <w:szCs w:val="24"/>
        </w:rPr>
        <w:t>, d’</w:t>
      </w:r>
      <w:hyperlink r:id="rId61" w:history="1">
        <w:r w:rsidRPr="00807652">
          <w:rPr>
            <w:rFonts w:ascii="Times New Roman" w:hAnsi="Times New Roman" w:cs="Times New Roman"/>
            <w:sz w:val="24"/>
            <w:szCs w:val="24"/>
          </w:rPr>
          <w:t>infirmer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le jugement entrepris en toutes ses dispositions et statuant à nouveau, de condamner la société </w:t>
      </w:r>
      <w:hyperlink r:id="rId62" w:history="1">
        <w:r w:rsidRPr="00807652">
          <w:rPr>
            <w:rFonts w:ascii="Times New Roman" w:hAnsi="Times New Roman" w:cs="Times New Roman"/>
            <w:sz w:val="24"/>
            <w:szCs w:val="24"/>
          </w:rPr>
          <w:t>ENEDIS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à procéder aux travaux de remise en état des colonnes montantes des immeubles situés à Corbeil-Essonnes, […] et 4, 5 et […], dans un </w:t>
      </w:r>
      <w:hyperlink r:id="rId63" w:history="1">
        <w:r w:rsidRPr="00807652">
          <w:rPr>
            <w:rFonts w:ascii="Times New Roman" w:hAnsi="Times New Roman" w:cs="Times New Roman"/>
            <w:sz w:val="24"/>
            <w:szCs w:val="24"/>
          </w:rPr>
          <w:t>délai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d’un mois à compter de l’</w:t>
      </w:r>
      <w:hyperlink r:id="rId64" w:history="1">
        <w:r w:rsidRPr="00807652">
          <w:rPr>
            <w:rFonts w:ascii="Times New Roman" w:hAnsi="Times New Roman" w:cs="Times New Roman"/>
            <w:sz w:val="24"/>
            <w:szCs w:val="24"/>
          </w:rPr>
          <w:t>arrêt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à intervenir, et passé ce </w:t>
      </w:r>
      <w:hyperlink r:id="rId65" w:history="1">
        <w:r w:rsidRPr="00807652">
          <w:rPr>
            <w:rFonts w:ascii="Times New Roman" w:hAnsi="Times New Roman" w:cs="Times New Roman"/>
            <w:sz w:val="24"/>
            <w:szCs w:val="24"/>
          </w:rPr>
          <w:t>délai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sous </w:t>
      </w:r>
      <w:hyperlink r:id="rId66" w:history="1">
        <w:r w:rsidRPr="00807652">
          <w:rPr>
            <w:rFonts w:ascii="Times New Roman" w:hAnsi="Times New Roman" w:cs="Times New Roman"/>
            <w:sz w:val="24"/>
            <w:szCs w:val="24"/>
          </w:rPr>
          <w:t>astreinte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définitive de 1 000 euros par jour de retard jusqu’à parfaite réalisation des travaux, et ce, à </w:t>
      </w:r>
      <w:hyperlink r:id="rId67" w:history="1">
        <w:r w:rsidRPr="00807652">
          <w:rPr>
            <w:rFonts w:ascii="Times New Roman" w:hAnsi="Times New Roman" w:cs="Times New Roman"/>
            <w:sz w:val="24"/>
            <w:szCs w:val="24"/>
          </w:rPr>
          <w:t>titre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</w:t>
      </w:r>
      <w:hyperlink r:id="rId68" w:history="1">
        <w:r w:rsidRPr="00807652">
          <w:rPr>
            <w:rFonts w:ascii="Times New Roman" w:hAnsi="Times New Roman" w:cs="Times New Roman"/>
            <w:sz w:val="24"/>
            <w:szCs w:val="24"/>
          </w:rPr>
          <w:t>principal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, après avoir jugé que la société </w:t>
      </w:r>
      <w:hyperlink r:id="rId69" w:history="1">
        <w:r w:rsidRPr="00807652">
          <w:rPr>
            <w:rFonts w:ascii="Times New Roman" w:hAnsi="Times New Roman" w:cs="Times New Roman"/>
            <w:sz w:val="24"/>
            <w:szCs w:val="24"/>
          </w:rPr>
          <w:t>ENEDIS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doit assurer la maintenance et le renouvellement de ces ouvrages dont elle ne rapporte pas la </w:t>
      </w:r>
      <w:hyperlink r:id="rId70" w:history="1">
        <w:r w:rsidRPr="00807652">
          <w:rPr>
            <w:rFonts w:ascii="Times New Roman" w:hAnsi="Times New Roman" w:cs="Times New Roman"/>
            <w:sz w:val="24"/>
            <w:szCs w:val="24"/>
          </w:rPr>
          <w:t>preuve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qu’ils sont restés sa </w:t>
      </w:r>
      <w:hyperlink r:id="rId71" w:history="1">
        <w:r w:rsidRPr="00807652">
          <w:rPr>
            <w:rFonts w:ascii="Times New Roman" w:hAnsi="Times New Roman" w:cs="Times New Roman"/>
            <w:sz w:val="24"/>
            <w:szCs w:val="24"/>
          </w:rPr>
          <w:t>propriété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et à </w:t>
      </w:r>
      <w:hyperlink r:id="rId72" w:history="1">
        <w:r w:rsidRPr="00807652">
          <w:rPr>
            <w:rFonts w:ascii="Times New Roman" w:hAnsi="Times New Roman" w:cs="Times New Roman"/>
            <w:sz w:val="24"/>
            <w:szCs w:val="24"/>
          </w:rPr>
          <w:t>titre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</w:t>
      </w:r>
      <w:hyperlink r:id="rId73" w:history="1">
        <w:r w:rsidRPr="00807652">
          <w:rPr>
            <w:rFonts w:ascii="Times New Roman" w:hAnsi="Times New Roman" w:cs="Times New Roman"/>
            <w:sz w:val="24"/>
            <w:szCs w:val="24"/>
          </w:rPr>
          <w:t>subsidiaire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, au </w:t>
      </w:r>
      <w:hyperlink r:id="rId74" w:history="1">
        <w:r w:rsidRPr="00807652">
          <w:rPr>
            <w:rFonts w:ascii="Times New Roman" w:hAnsi="Times New Roman" w:cs="Times New Roman"/>
            <w:sz w:val="24"/>
            <w:szCs w:val="24"/>
          </w:rPr>
          <w:t>constat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d’une délibération de son </w:t>
      </w:r>
      <w:hyperlink r:id="rId75" w:history="1">
        <w:r w:rsidRPr="00807652">
          <w:rPr>
            <w:rFonts w:ascii="Times New Roman" w:hAnsi="Times New Roman" w:cs="Times New Roman"/>
            <w:sz w:val="24"/>
            <w:szCs w:val="24"/>
          </w:rPr>
          <w:t>directoire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, en date du 19 octobre 2017, faisant </w:t>
      </w:r>
      <w:hyperlink r:id="rId76" w:history="1">
        <w:r w:rsidRPr="00807652">
          <w:rPr>
            <w:rFonts w:ascii="Times New Roman" w:hAnsi="Times New Roman" w:cs="Times New Roman"/>
            <w:sz w:val="24"/>
            <w:szCs w:val="24"/>
          </w:rPr>
          <w:t>abandon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au profit de la société </w:t>
      </w:r>
      <w:hyperlink r:id="rId77" w:history="1">
        <w:r w:rsidRPr="00807652">
          <w:rPr>
            <w:rFonts w:ascii="Times New Roman" w:hAnsi="Times New Roman" w:cs="Times New Roman"/>
            <w:sz w:val="24"/>
            <w:szCs w:val="24"/>
          </w:rPr>
          <w:t>ENEDIS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 ses droits éventuels sur la totalité des colonnes montantes de </w:t>
      </w:r>
      <w:hyperlink r:id="rId78" w:history="1">
        <w:r w:rsidRPr="00807652">
          <w:rPr>
            <w:rFonts w:ascii="Times New Roman" w:hAnsi="Times New Roman" w:cs="Times New Roman"/>
            <w:sz w:val="24"/>
            <w:szCs w:val="24"/>
          </w:rPr>
          <w:t>distribution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d’électricité situées au sein de tous les immeubles lui appartenant sur les départements des Yvelines et de l’Essonne, et donc sur les ouvrages en </w:t>
      </w:r>
      <w:hyperlink r:id="rId79" w:history="1">
        <w:r w:rsidRPr="00807652">
          <w:rPr>
            <w:rFonts w:ascii="Times New Roman" w:hAnsi="Times New Roman" w:cs="Times New Roman"/>
            <w:sz w:val="24"/>
            <w:szCs w:val="24"/>
          </w:rPr>
          <w:t>cause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, cet </w:t>
      </w:r>
      <w:hyperlink r:id="rId80" w:history="1">
        <w:r w:rsidRPr="00807652">
          <w:rPr>
            <w:rFonts w:ascii="Times New Roman" w:hAnsi="Times New Roman" w:cs="Times New Roman"/>
            <w:sz w:val="24"/>
            <w:szCs w:val="24"/>
          </w:rPr>
          <w:t>abandon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</w:t>
      </w:r>
      <w:hyperlink r:id="rId81" w:history="1">
        <w:r w:rsidRPr="00807652">
          <w:rPr>
            <w:rFonts w:ascii="Times New Roman" w:hAnsi="Times New Roman" w:cs="Times New Roman"/>
            <w:sz w:val="24"/>
            <w:szCs w:val="24"/>
          </w:rPr>
          <w:t>unilatéral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étant pleinement efficace dès lors qu’il n’est subordonné, selon l’article 15 du </w:t>
      </w:r>
      <w:hyperlink r:id="rId82" w:history="1">
        <w:r w:rsidRPr="00807652">
          <w:rPr>
            <w:rFonts w:ascii="Times New Roman" w:hAnsi="Times New Roman" w:cs="Times New Roman"/>
            <w:sz w:val="24"/>
            <w:szCs w:val="24"/>
          </w:rPr>
          <w:t>contrat de concession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, à aucune </w:t>
      </w:r>
      <w:hyperlink r:id="rId83" w:history="1">
        <w:r w:rsidRPr="00807652">
          <w:rPr>
            <w:rFonts w:ascii="Times New Roman" w:hAnsi="Times New Roman" w:cs="Times New Roman"/>
            <w:sz w:val="24"/>
            <w:szCs w:val="24"/>
          </w:rPr>
          <w:t>condition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 </w:t>
      </w:r>
      <w:hyperlink r:id="rId84" w:history="1">
        <w:r w:rsidRPr="00807652">
          <w:rPr>
            <w:rFonts w:ascii="Times New Roman" w:hAnsi="Times New Roman" w:cs="Times New Roman"/>
            <w:sz w:val="24"/>
            <w:szCs w:val="24"/>
          </w:rPr>
          <w:t>fond</w:t>
        </w:r>
      </w:hyperlink>
      <w:r w:rsidRPr="00807652">
        <w:rPr>
          <w:rFonts w:ascii="Times New Roman" w:hAnsi="Times New Roman" w:cs="Times New Roman"/>
          <w:sz w:val="24"/>
          <w:szCs w:val="24"/>
        </w:rPr>
        <w:t>.</w:t>
      </w:r>
    </w:p>
    <w:p w:rsidR="00043365" w:rsidRDefault="00043365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t xml:space="preserve">En tout </w:t>
      </w:r>
      <w:hyperlink r:id="rId85" w:history="1">
        <w:r w:rsidRPr="00807652">
          <w:rPr>
            <w:rFonts w:ascii="Times New Roman" w:hAnsi="Times New Roman" w:cs="Times New Roman"/>
            <w:sz w:val="24"/>
            <w:szCs w:val="24"/>
          </w:rPr>
          <w:t>état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 </w:t>
      </w:r>
      <w:hyperlink r:id="rId86" w:history="1">
        <w:r w:rsidRPr="00807652">
          <w:rPr>
            <w:rFonts w:ascii="Times New Roman" w:hAnsi="Times New Roman" w:cs="Times New Roman"/>
            <w:sz w:val="24"/>
            <w:szCs w:val="24"/>
          </w:rPr>
          <w:t>cause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, la société </w:t>
      </w:r>
      <w:hyperlink r:id="rId87" w:history="1">
        <w:r w:rsidRPr="00807652">
          <w:rPr>
            <w:rFonts w:ascii="Times New Roman" w:hAnsi="Times New Roman" w:cs="Times New Roman"/>
            <w:sz w:val="24"/>
            <w:szCs w:val="24"/>
          </w:rPr>
          <w:t>Les résidences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sollicite l’</w:t>
      </w:r>
      <w:hyperlink r:id="rId88" w:history="1">
        <w:r w:rsidRPr="00807652">
          <w:rPr>
            <w:rFonts w:ascii="Times New Roman" w:hAnsi="Times New Roman" w:cs="Times New Roman"/>
            <w:sz w:val="24"/>
            <w:szCs w:val="24"/>
          </w:rPr>
          <w:t>allocation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d’une somme de 8 000 euros en application de l’article </w:t>
      </w:r>
      <w:hyperlink r:id="rId89" w:history="1">
        <w:r w:rsidRPr="00807652">
          <w:rPr>
            <w:rFonts w:ascii="Times New Roman" w:hAnsi="Times New Roman" w:cs="Times New Roman"/>
            <w:sz w:val="24"/>
            <w:szCs w:val="24"/>
          </w:rPr>
          <w:t>700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 du </w:t>
      </w:r>
      <w:hyperlink r:id="rId90" w:history="1">
        <w:r w:rsidRPr="00807652">
          <w:rPr>
            <w:rFonts w:ascii="Times New Roman" w:hAnsi="Times New Roman" w:cs="Times New Roman"/>
            <w:sz w:val="24"/>
            <w:szCs w:val="24"/>
          </w:rPr>
          <w:t>code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 </w:t>
      </w:r>
      <w:hyperlink r:id="rId91" w:history="1">
        <w:r w:rsidRPr="00807652">
          <w:rPr>
            <w:rFonts w:ascii="Times New Roman" w:hAnsi="Times New Roman" w:cs="Times New Roman"/>
            <w:sz w:val="24"/>
            <w:szCs w:val="24"/>
          </w:rPr>
          <w:t>procédure civile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et aux entiers </w:t>
      </w:r>
      <w:hyperlink r:id="rId92" w:history="1">
        <w:r w:rsidRPr="00807652">
          <w:rPr>
            <w:rFonts w:ascii="Times New Roman" w:hAnsi="Times New Roman" w:cs="Times New Roman"/>
            <w:sz w:val="24"/>
            <w:szCs w:val="24"/>
          </w:rPr>
          <w:t>dépens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qui seront recouvrés conformément aux dispositions de l’article </w:t>
      </w:r>
      <w:hyperlink r:id="rId93" w:history="1">
        <w:r w:rsidRPr="00807652">
          <w:rPr>
            <w:rFonts w:ascii="Times New Roman" w:hAnsi="Times New Roman" w:cs="Times New Roman"/>
            <w:sz w:val="24"/>
            <w:szCs w:val="24"/>
          </w:rPr>
          <w:t>699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 du </w:t>
      </w:r>
      <w:hyperlink r:id="rId94" w:history="1">
        <w:r w:rsidRPr="00807652">
          <w:rPr>
            <w:rFonts w:ascii="Times New Roman" w:hAnsi="Times New Roman" w:cs="Times New Roman"/>
            <w:sz w:val="24"/>
            <w:szCs w:val="24"/>
          </w:rPr>
          <w:t>code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 </w:t>
      </w:r>
      <w:hyperlink r:id="rId95" w:history="1">
        <w:r w:rsidRPr="00807652">
          <w:rPr>
            <w:rFonts w:ascii="Times New Roman" w:hAnsi="Times New Roman" w:cs="Times New Roman"/>
            <w:sz w:val="24"/>
            <w:szCs w:val="24"/>
          </w:rPr>
          <w:t>procédure civile</w:t>
        </w:r>
      </w:hyperlink>
      <w:r w:rsidRPr="00807652">
        <w:rPr>
          <w:rFonts w:ascii="Times New Roman" w:hAnsi="Times New Roman" w:cs="Times New Roman"/>
          <w:sz w:val="24"/>
          <w:szCs w:val="24"/>
        </w:rPr>
        <w:t>.</w:t>
      </w:r>
    </w:p>
    <w:p w:rsidR="00043365" w:rsidRDefault="00043365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t xml:space="preserve">Aux termes de ses dernières </w:t>
      </w:r>
      <w:hyperlink r:id="rId96" w:history="1">
        <w:r w:rsidRPr="00807652">
          <w:rPr>
            <w:rFonts w:ascii="Times New Roman" w:hAnsi="Times New Roman" w:cs="Times New Roman"/>
            <w:sz w:val="24"/>
            <w:szCs w:val="24"/>
          </w:rPr>
          <w:t>conclusions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notifiées par voie électronique, le 26 octobre 2018, la société </w:t>
      </w:r>
      <w:hyperlink r:id="rId97" w:history="1">
        <w:r w:rsidRPr="00807652">
          <w:rPr>
            <w:rFonts w:ascii="Times New Roman" w:hAnsi="Times New Roman" w:cs="Times New Roman"/>
            <w:sz w:val="24"/>
            <w:szCs w:val="24"/>
          </w:rPr>
          <w:t>ENEDIS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soutient l’</w:t>
      </w:r>
      <w:hyperlink r:id="rId98" w:history="1">
        <w:r w:rsidRPr="00807652">
          <w:rPr>
            <w:rFonts w:ascii="Times New Roman" w:hAnsi="Times New Roman" w:cs="Times New Roman"/>
            <w:sz w:val="24"/>
            <w:szCs w:val="24"/>
          </w:rPr>
          <w:t>irrecevabilité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 la demande de </w:t>
      </w:r>
      <w:hyperlink r:id="rId99" w:history="1">
        <w:r w:rsidRPr="00807652">
          <w:rPr>
            <w:rFonts w:ascii="Times New Roman" w:hAnsi="Times New Roman" w:cs="Times New Roman"/>
            <w:sz w:val="24"/>
            <w:szCs w:val="24"/>
          </w:rPr>
          <w:t>constat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 l’</w:t>
      </w:r>
      <w:hyperlink r:id="rId100" w:history="1">
        <w:r w:rsidRPr="00807652">
          <w:rPr>
            <w:rFonts w:ascii="Times New Roman" w:hAnsi="Times New Roman" w:cs="Times New Roman"/>
            <w:sz w:val="24"/>
            <w:szCs w:val="24"/>
          </w:rPr>
          <w:t>abandon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des colonnes montantes par la société </w:t>
      </w:r>
      <w:hyperlink r:id="rId101" w:history="1">
        <w:r w:rsidRPr="00807652">
          <w:rPr>
            <w:rFonts w:ascii="Times New Roman" w:hAnsi="Times New Roman" w:cs="Times New Roman"/>
            <w:sz w:val="24"/>
            <w:szCs w:val="24"/>
          </w:rPr>
          <w:t>Les résidences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, la </w:t>
      </w:r>
      <w:hyperlink r:id="rId102" w:history="1">
        <w:r w:rsidRPr="00807652">
          <w:rPr>
            <w:rFonts w:ascii="Times New Roman" w:hAnsi="Times New Roman" w:cs="Times New Roman"/>
            <w:sz w:val="24"/>
            <w:szCs w:val="24"/>
          </w:rPr>
          <w:t>confirmation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du jugement déféré, le </w:t>
      </w:r>
      <w:hyperlink r:id="rId103" w:history="1">
        <w:r w:rsidRPr="00807652">
          <w:rPr>
            <w:rFonts w:ascii="Times New Roman" w:hAnsi="Times New Roman" w:cs="Times New Roman"/>
            <w:sz w:val="24"/>
            <w:szCs w:val="24"/>
          </w:rPr>
          <w:t>rejet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des prétentions de l’appelante et sa condamnation au </w:t>
      </w:r>
      <w:hyperlink r:id="rId104" w:history="1">
        <w:r w:rsidRPr="00807652">
          <w:rPr>
            <w:rFonts w:ascii="Times New Roman" w:hAnsi="Times New Roman" w:cs="Times New Roman"/>
            <w:sz w:val="24"/>
            <w:szCs w:val="24"/>
          </w:rPr>
          <w:t>paiement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d’une indemnité de procédure de 8 000 euros et aux entiers </w:t>
      </w:r>
      <w:hyperlink r:id="rId105" w:history="1">
        <w:r w:rsidRPr="00807652">
          <w:rPr>
            <w:rFonts w:ascii="Times New Roman" w:hAnsi="Times New Roman" w:cs="Times New Roman"/>
            <w:sz w:val="24"/>
            <w:szCs w:val="24"/>
          </w:rPr>
          <w:t>dépens</w:t>
        </w:r>
      </w:hyperlink>
      <w:r w:rsidRPr="00807652">
        <w:rPr>
          <w:rFonts w:ascii="Times New Roman" w:hAnsi="Times New Roman" w:cs="Times New Roman"/>
          <w:sz w:val="24"/>
          <w:szCs w:val="24"/>
        </w:rPr>
        <w:t>.</w:t>
      </w:r>
    </w:p>
    <w:p w:rsidR="00043365" w:rsidRDefault="00043365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t xml:space="preserve">La </w:t>
      </w:r>
      <w:hyperlink r:id="rId106" w:history="1">
        <w:r w:rsidRPr="00807652">
          <w:rPr>
            <w:rFonts w:ascii="Times New Roman" w:hAnsi="Times New Roman" w:cs="Times New Roman"/>
            <w:sz w:val="24"/>
            <w:szCs w:val="24"/>
          </w:rPr>
          <w:t>clôture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est intervenue le 7 novembre 2018.</w:t>
      </w:r>
    </w:p>
    <w:p w:rsidR="00043365" w:rsidRDefault="00043365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t>SUR CE, LA COUR,</w:t>
      </w:r>
    </w:p>
    <w:p w:rsidR="00043365" w:rsidRDefault="00043365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t xml:space="preserve">Considérant au préalable, que les </w:t>
      </w:r>
      <w:hyperlink r:id="rId107" w:history="1">
        <w:r w:rsidRPr="00807652">
          <w:rPr>
            <w:rFonts w:ascii="Times New Roman" w:hAnsi="Times New Roman" w:cs="Times New Roman"/>
            <w:sz w:val="24"/>
            <w:szCs w:val="24"/>
          </w:rPr>
          <w:t>conclusions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 l’appelante notifiées par voie électronique, le 7 novembre 2018 dans l’après-midi, soit après la </w:t>
      </w:r>
      <w:hyperlink r:id="rId108" w:history="1">
        <w:r w:rsidRPr="00807652">
          <w:rPr>
            <w:rFonts w:ascii="Times New Roman" w:hAnsi="Times New Roman" w:cs="Times New Roman"/>
            <w:sz w:val="24"/>
            <w:szCs w:val="24"/>
          </w:rPr>
          <w:t>clôture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prononcée à l’</w:t>
      </w:r>
      <w:hyperlink r:id="rId109" w:history="1">
        <w:r w:rsidRPr="00807652">
          <w:rPr>
            <w:rFonts w:ascii="Times New Roman" w:hAnsi="Times New Roman" w:cs="Times New Roman"/>
            <w:sz w:val="24"/>
            <w:szCs w:val="24"/>
          </w:rPr>
          <w:t>audience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 </w:t>
      </w:r>
      <w:hyperlink r:id="rId110" w:history="1">
        <w:r w:rsidRPr="00807652">
          <w:rPr>
            <w:rFonts w:ascii="Times New Roman" w:hAnsi="Times New Roman" w:cs="Times New Roman"/>
            <w:sz w:val="24"/>
            <w:szCs w:val="24"/>
          </w:rPr>
          <w:t>mise en état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qui s’était tenue, le même jour dans la matinée, sont irrecevables </w:t>
      </w:r>
      <w:hyperlink r:id="rId111" w:history="1">
        <w:r w:rsidRPr="00807652">
          <w:rPr>
            <w:rFonts w:ascii="Times New Roman" w:hAnsi="Times New Roman" w:cs="Times New Roman"/>
            <w:sz w:val="24"/>
            <w:szCs w:val="24"/>
          </w:rPr>
          <w:t>faute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d’une </w:t>
      </w:r>
      <w:hyperlink r:id="rId112" w:history="1">
        <w:r w:rsidRPr="00807652">
          <w:rPr>
            <w:rFonts w:ascii="Times New Roman" w:hAnsi="Times New Roman" w:cs="Times New Roman"/>
            <w:sz w:val="24"/>
            <w:szCs w:val="24"/>
          </w:rPr>
          <w:t>révocation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 l’</w:t>
      </w:r>
      <w:hyperlink r:id="rId113" w:history="1">
        <w:r w:rsidRPr="00807652">
          <w:rPr>
            <w:rFonts w:ascii="Times New Roman" w:hAnsi="Times New Roman" w:cs="Times New Roman"/>
            <w:sz w:val="24"/>
            <w:szCs w:val="24"/>
          </w:rPr>
          <w:t>ordonnance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 </w:t>
      </w:r>
      <w:hyperlink r:id="rId114" w:history="1">
        <w:r w:rsidRPr="00807652">
          <w:rPr>
            <w:rFonts w:ascii="Times New Roman" w:hAnsi="Times New Roman" w:cs="Times New Roman"/>
            <w:sz w:val="24"/>
            <w:szCs w:val="24"/>
          </w:rPr>
          <w:t>clôture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qui n’a pas été prononcée, ni même sollicitée ;</w:t>
      </w:r>
    </w:p>
    <w:p w:rsidR="00043365" w:rsidRDefault="00043365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t xml:space="preserve">Considérant qu’à </w:t>
      </w:r>
      <w:hyperlink r:id="rId115" w:history="1">
        <w:r w:rsidRPr="00807652">
          <w:rPr>
            <w:rFonts w:ascii="Times New Roman" w:hAnsi="Times New Roman" w:cs="Times New Roman"/>
            <w:sz w:val="24"/>
            <w:szCs w:val="24"/>
          </w:rPr>
          <w:t>titre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</w:t>
      </w:r>
      <w:hyperlink r:id="rId116" w:history="1">
        <w:r w:rsidRPr="00807652">
          <w:rPr>
            <w:rFonts w:ascii="Times New Roman" w:hAnsi="Times New Roman" w:cs="Times New Roman"/>
            <w:sz w:val="24"/>
            <w:szCs w:val="24"/>
          </w:rPr>
          <w:t>principal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, la société </w:t>
      </w:r>
      <w:hyperlink r:id="rId117" w:history="1">
        <w:r w:rsidRPr="00807652">
          <w:rPr>
            <w:rFonts w:ascii="Times New Roman" w:hAnsi="Times New Roman" w:cs="Times New Roman"/>
            <w:sz w:val="24"/>
            <w:szCs w:val="24"/>
          </w:rPr>
          <w:t>Les résidences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affirme l’existence d’une </w:t>
      </w:r>
      <w:hyperlink r:id="rId118" w:history="1">
        <w:r w:rsidRPr="00807652">
          <w:rPr>
            <w:rFonts w:ascii="Times New Roman" w:hAnsi="Times New Roman" w:cs="Times New Roman"/>
            <w:sz w:val="24"/>
            <w:szCs w:val="24"/>
          </w:rPr>
          <w:t>présomption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 l’appartenance des colonnes montantes d’électricité au réseau public d’électricité, imposée par des impératifs de sécurité et dit que celles des […] et 4, 5 et […] ont été endommagées par l’incendie, ainsi qu’elle en justifie par un </w:t>
      </w:r>
      <w:hyperlink r:id="rId119" w:history="1">
        <w:r w:rsidRPr="00807652">
          <w:rPr>
            <w:rFonts w:ascii="Times New Roman" w:hAnsi="Times New Roman" w:cs="Times New Roman"/>
            <w:sz w:val="24"/>
            <w:szCs w:val="24"/>
          </w:rPr>
          <w:t>constat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d’</w:t>
      </w:r>
      <w:hyperlink r:id="rId120" w:history="1">
        <w:r w:rsidRPr="00807652">
          <w:rPr>
            <w:rFonts w:ascii="Times New Roman" w:hAnsi="Times New Roman" w:cs="Times New Roman"/>
            <w:sz w:val="24"/>
            <w:szCs w:val="24"/>
          </w:rPr>
          <w:t>huissier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 ; qu’elle fait valoir que cette </w:t>
      </w:r>
      <w:hyperlink r:id="rId121" w:history="1">
        <w:r w:rsidRPr="00807652">
          <w:rPr>
            <w:rFonts w:ascii="Times New Roman" w:hAnsi="Times New Roman" w:cs="Times New Roman"/>
            <w:sz w:val="24"/>
            <w:szCs w:val="24"/>
          </w:rPr>
          <w:t>présomption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a été consacrée par les juridictions administratives et judiciaires en conformité avec les recommandations du médiateur national de l’énergie, qui en rappelle l’existence depuis le </w:t>
      </w:r>
      <w:hyperlink r:id="rId122" w:history="1">
        <w:r w:rsidRPr="00807652">
          <w:rPr>
            <w:rFonts w:ascii="Times New Roman" w:hAnsi="Times New Roman" w:cs="Times New Roman"/>
            <w:sz w:val="24"/>
            <w:szCs w:val="24"/>
          </w:rPr>
          <w:t>décret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du 8 novembre 1946, qui pose le principe d’une incorporation immédiate au réseau public de toutes les colonnes montantes, la </w:t>
      </w:r>
      <w:hyperlink r:id="rId123" w:history="1">
        <w:r w:rsidRPr="00807652">
          <w:rPr>
            <w:rFonts w:ascii="Times New Roman" w:hAnsi="Times New Roman" w:cs="Times New Roman"/>
            <w:sz w:val="24"/>
            <w:szCs w:val="24"/>
          </w:rPr>
          <w:t>preuve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d’une situation </w:t>
      </w:r>
      <w:hyperlink r:id="rId124" w:history="1">
        <w:r w:rsidRPr="00807652">
          <w:rPr>
            <w:rFonts w:ascii="Times New Roman" w:hAnsi="Times New Roman" w:cs="Times New Roman"/>
            <w:sz w:val="24"/>
            <w:szCs w:val="24"/>
          </w:rPr>
          <w:t>dérogatoire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incombant à la société </w:t>
      </w:r>
      <w:hyperlink r:id="rId125" w:history="1">
        <w:r w:rsidRPr="00807652">
          <w:rPr>
            <w:rFonts w:ascii="Times New Roman" w:hAnsi="Times New Roman" w:cs="Times New Roman"/>
            <w:sz w:val="24"/>
            <w:szCs w:val="24"/>
          </w:rPr>
          <w:t>ENEDIS</w:t>
        </w:r>
      </w:hyperlink>
      <w:r w:rsidRPr="00807652">
        <w:rPr>
          <w:rFonts w:ascii="Times New Roman" w:hAnsi="Times New Roman" w:cs="Times New Roman"/>
          <w:sz w:val="24"/>
          <w:szCs w:val="24"/>
        </w:rPr>
        <w:t> ;</w:t>
      </w:r>
    </w:p>
    <w:p w:rsidR="00043365" w:rsidRDefault="00043365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t>Que celle-ci précise que les colonnes montantes sont contemporaines de la construction de l’</w:t>
      </w:r>
      <w:hyperlink r:id="rId126" w:history="1">
        <w:r w:rsidRPr="00807652">
          <w:rPr>
            <w:rFonts w:ascii="Times New Roman" w:hAnsi="Times New Roman" w:cs="Times New Roman"/>
            <w:sz w:val="24"/>
            <w:szCs w:val="24"/>
          </w:rPr>
          <w:t>immeuble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dans les années 1960 ; qu’elle prétend qu’elles sont la </w:t>
      </w:r>
      <w:hyperlink r:id="rId127" w:history="1">
        <w:r w:rsidRPr="00807652">
          <w:rPr>
            <w:rFonts w:ascii="Times New Roman" w:hAnsi="Times New Roman" w:cs="Times New Roman"/>
            <w:sz w:val="24"/>
            <w:szCs w:val="24"/>
          </w:rPr>
          <w:t>propriété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du bailleur social, ainsi qu’il </w:t>
      </w:r>
      <w:hyperlink r:id="rId128" w:history="1">
        <w:r w:rsidRPr="00807652">
          <w:rPr>
            <w:rFonts w:ascii="Times New Roman" w:hAnsi="Times New Roman" w:cs="Times New Roman"/>
            <w:sz w:val="24"/>
            <w:szCs w:val="24"/>
          </w:rPr>
          <w:t>ressort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des termes de la </w:t>
      </w:r>
      <w:hyperlink r:id="rId129" w:history="1">
        <w:r w:rsidRPr="00807652">
          <w:rPr>
            <w:rFonts w:ascii="Times New Roman" w:hAnsi="Times New Roman" w:cs="Times New Roman"/>
            <w:sz w:val="24"/>
            <w:szCs w:val="24"/>
          </w:rPr>
          <w:t>concession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 ; qu’elle conteste qu’il existe une </w:t>
      </w:r>
      <w:hyperlink r:id="rId130" w:history="1">
        <w:r w:rsidRPr="00807652">
          <w:rPr>
            <w:rFonts w:ascii="Times New Roman" w:hAnsi="Times New Roman" w:cs="Times New Roman"/>
            <w:sz w:val="24"/>
            <w:szCs w:val="24"/>
          </w:rPr>
          <w:t>présomption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d’</w:t>
      </w:r>
      <w:hyperlink r:id="rId131" w:history="1">
        <w:r w:rsidRPr="00807652">
          <w:rPr>
            <w:rFonts w:ascii="Times New Roman" w:hAnsi="Times New Roman" w:cs="Times New Roman"/>
            <w:sz w:val="24"/>
            <w:szCs w:val="24"/>
          </w:rPr>
          <w:t>abandon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, le </w:t>
      </w:r>
      <w:hyperlink r:id="rId132" w:history="1">
        <w:r w:rsidRPr="00807652">
          <w:rPr>
            <w:rFonts w:ascii="Times New Roman" w:hAnsi="Times New Roman" w:cs="Times New Roman"/>
            <w:sz w:val="24"/>
            <w:szCs w:val="24"/>
          </w:rPr>
          <w:t>décret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du 8 novembre 1946 (pris en application de la </w:t>
      </w:r>
      <w:hyperlink r:id="rId133" w:history="1">
        <w:r w:rsidRPr="00807652">
          <w:rPr>
            <w:rFonts w:ascii="Times New Roman" w:hAnsi="Times New Roman" w:cs="Times New Roman"/>
            <w:sz w:val="24"/>
            <w:szCs w:val="24"/>
          </w:rPr>
          <w:t>loi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du 8 avril 1946 sur la nationalisation des entreprises privées d’électricité) ne visant que l’incorporation au réseau des colonnes construites avant 1946 par les sociétés nationalisées ;</w:t>
      </w:r>
    </w:p>
    <w:p w:rsidR="00043365" w:rsidRDefault="00043365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t xml:space="preserve">Considérant que le </w:t>
      </w:r>
      <w:hyperlink r:id="rId134" w:history="1">
        <w:r w:rsidRPr="00807652">
          <w:rPr>
            <w:rFonts w:ascii="Times New Roman" w:hAnsi="Times New Roman" w:cs="Times New Roman"/>
            <w:sz w:val="24"/>
            <w:szCs w:val="24"/>
          </w:rPr>
          <w:t>décret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du 8 novembre 1946 pris en application de l’article 44 de la </w:t>
      </w:r>
      <w:hyperlink r:id="rId135" w:history="1">
        <w:r w:rsidRPr="00807652">
          <w:rPr>
            <w:rFonts w:ascii="Times New Roman" w:hAnsi="Times New Roman" w:cs="Times New Roman"/>
            <w:sz w:val="24"/>
            <w:szCs w:val="24"/>
          </w:rPr>
          <w:t>loi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du 8 avril 1946 énonce, en son article premier :</w:t>
      </w:r>
    </w:p>
    <w:p w:rsidR="00807652" w:rsidRPr="00807652" w:rsidRDefault="00043365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</w:t>
      </w:r>
      <w:r w:rsidR="00807652" w:rsidRPr="00807652">
        <w:rPr>
          <w:rFonts w:ascii="Times New Roman" w:hAnsi="Times New Roman" w:cs="Times New Roman"/>
          <w:sz w:val="24"/>
          <w:szCs w:val="24"/>
        </w:rPr>
        <w:t xml:space="preserve">Dès la </w:t>
      </w:r>
      <w:hyperlink r:id="rId136" w:history="1">
        <w:r w:rsidR="00807652" w:rsidRPr="00807652">
          <w:rPr>
            <w:rFonts w:ascii="Times New Roman" w:hAnsi="Times New Roman" w:cs="Times New Roman"/>
            <w:sz w:val="24"/>
            <w:szCs w:val="24"/>
          </w:rPr>
          <w:t>publication</w:t>
        </w:r>
      </w:hyperlink>
      <w:r w:rsidR="00807652" w:rsidRPr="00807652">
        <w:rPr>
          <w:rFonts w:ascii="Times New Roman" w:hAnsi="Times New Roman" w:cs="Times New Roman"/>
          <w:sz w:val="24"/>
          <w:szCs w:val="24"/>
        </w:rPr>
        <w:t xml:space="preserve"> du présent </w:t>
      </w:r>
      <w:hyperlink r:id="rId137" w:history="1">
        <w:r w:rsidR="00807652" w:rsidRPr="00807652">
          <w:rPr>
            <w:rFonts w:ascii="Times New Roman" w:hAnsi="Times New Roman" w:cs="Times New Roman"/>
            <w:sz w:val="24"/>
            <w:szCs w:val="24"/>
          </w:rPr>
          <w:t>décret</w:t>
        </w:r>
      </w:hyperlink>
      <w:r w:rsidR="00807652" w:rsidRPr="00807652">
        <w:rPr>
          <w:rFonts w:ascii="Times New Roman" w:hAnsi="Times New Roman" w:cs="Times New Roman"/>
          <w:sz w:val="24"/>
          <w:szCs w:val="24"/>
        </w:rPr>
        <w:t xml:space="preserve">, sont incorporés aux réseaux de </w:t>
      </w:r>
      <w:hyperlink r:id="rId138" w:history="1">
        <w:r w:rsidR="00807652" w:rsidRPr="00807652">
          <w:rPr>
            <w:rFonts w:ascii="Times New Roman" w:hAnsi="Times New Roman" w:cs="Times New Roman"/>
            <w:sz w:val="24"/>
            <w:szCs w:val="24"/>
          </w:rPr>
          <w:t>distribution</w:t>
        </w:r>
      </w:hyperlink>
      <w:r w:rsidR="00807652" w:rsidRPr="00807652">
        <w:rPr>
          <w:rFonts w:ascii="Times New Roman" w:hAnsi="Times New Roman" w:cs="Times New Roman"/>
          <w:sz w:val="24"/>
          <w:szCs w:val="24"/>
        </w:rPr>
        <w:t xml:space="preserve"> d’électricité tous les ouvrages à usage collectif de transmission ou de transformation d’électricité établis sur une </w:t>
      </w:r>
      <w:hyperlink r:id="rId139" w:history="1">
        <w:r w:rsidR="00807652" w:rsidRPr="00807652">
          <w:rPr>
            <w:rFonts w:ascii="Times New Roman" w:hAnsi="Times New Roman" w:cs="Times New Roman"/>
            <w:sz w:val="24"/>
            <w:szCs w:val="24"/>
          </w:rPr>
          <w:t>propriété</w:t>
        </w:r>
      </w:hyperlink>
      <w:r w:rsidR="00807652" w:rsidRPr="00807652">
        <w:rPr>
          <w:rFonts w:ascii="Times New Roman" w:hAnsi="Times New Roman" w:cs="Times New Roman"/>
          <w:sz w:val="24"/>
          <w:szCs w:val="24"/>
        </w:rPr>
        <w:t xml:space="preserve"> privée, à l’</w:t>
      </w:r>
      <w:hyperlink r:id="rId140" w:history="1">
        <w:r w:rsidR="00807652" w:rsidRPr="00807652">
          <w:rPr>
            <w:rFonts w:ascii="Times New Roman" w:hAnsi="Times New Roman" w:cs="Times New Roman"/>
            <w:sz w:val="24"/>
            <w:szCs w:val="24"/>
          </w:rPr>
          <w:t>exception</w:t>
        </w:r>
      </w:hyperlink>
      <w:r w:rsidR="00807652" w:rsidRPr="00807652">
        <w:rPr>
          <w:rFonts w:ascii="Times New Roman" w:hAnsi="Times New Roman" w:cs="Times New Roman"/>
          <w:sz w:val="24"/>
          <w:szCs w:val="24"/>
        </w:rPr>
        <w:t xml:space="preserve"> de ceux des ouvrages appartenant au propriétaire de l’</w:t>
      </w:r>
      <w:hyperlink r:id="rId141" w:history="1">
        <w:r w:rsidR="00807652" w:rsidRPr="00807652">
          <w:rPr>
            <w:rFonts w:ascii="Times New Roman" w:hAnsi="Times New Roman" w:cs="Times New Roman"/>
            <w:sz w:val="24"/>
            <w:szCs w:val="24"/>
          </w:rPr>
          <w:t>immeuble</w:t>
        </w:r>
      </w:hyperlink>
      <w:r w:rsidR="00807652" w:rsidRPr="00807652">
        <w:rPr>
          <w:rFonts w:ascii="Times New Roman" w:hAnsi="Times New Roman" w:cs="Times New Roman"/>
          <w:sz w:val="24"/>
          <w:szCs w:val="24"/>
        </w:rPr>
        <w:t xml:space="preserve"> dans lequel ils sont établis, pour lesquels celui-ci ne perçoit ou accepte de ne percevoir à l’avenir aucune </w:t>
      </w:r>
      <w:hyperlink r:id="rId142" w:history="1">
        <w:r w:rsidR="00807652" w:rsidRPr="00807652">
          <w:rPr>
            <w:rFonts w:ascii="Times New Roman" w:hAnsi="Times New Roman" w:cs="Times New Roman"/>
            <w:sz w:val="24"/>
            <w:szCs w:val="24"/>
          </w:rPr>
          <w:t>redevance</w:t>
        </w:r>
      </w:hyperlink>
      <w:r w:rsidR="00807652" w:rsidRPr="00807652">
        <w:rPr>
          <w:rFonts w:ascii="Times New Roman" w:hAnsi="Times New Roman" w:cs="Times New Roman"/>
          <w:sz w:val="24"/>
          <w:szCs w:val="24"/>
        </w:rPr>
        <w:t xml:space="preserve"> spéciale</w:t>
      </w:r>
      <w:r>
        <w:rPr>
          <w:rFonts w:ascii="Times New Roman" w:hAnsi="Times New Roman" w:cs="Times New Roman"/>
          <w:sz w:val="24"/>
          <w:szCs w:val="24"/>
        </w:rPr>
        <w:t> »</w:t>
      </w:r>
      <w:r w:rsidR="00807652" w:rsidRPr="00807652">
        <w:rPr>
          <w:rFonts w:ascii="Times New Roman" w:hAnsi="Times New Roman" w:cs="Times New Roman"/>
          <w:sz w:val="24"/>
          <w:szCs w:val="24"/>
        </w:rPr>
        <w:t> ;</w:t>
      </w:r>
    </w:p>
    <w:p w:rsidR="00043365" w:rsidRDefault="00043365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43365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t xml:space="preserve">Qu’il pose le principe de l’incorporation des colonnes montantes dans le réseau public de </w:t>
      </w:r>
      <w:hyperlink r:id="rId143" w:history="1">
        <w:r w:rsidRPr="00807652">
          <w:rPr>
            <w:rFonts w:ascii="Times New Roman" w:hAnsi="Times New Roman" w:cs="Times New Roman"/>
            <w:sz w:val="24"/>
            <w:szCs w:val="24"/>
          </w:rPr>
          <w:t>distribution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d’électricité, indépendamment de la date de </w:t>
      </w:r>
      <w:hyperlink r:id="rId144" w:history="1">
        <w:r w:rsidRPr="00807652">
          <w:rPr>
            <w:rFonts w:ascii="Times New Roman" w:hAnsi="Times New Roman" w:cs="Times New Roman"/>
            <w:sz w:val="24"/>
            <w:szCs w:val="24"/>
          </w:rPr>
          <w:t>signature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 la </w:t>
      </w:r>
      <w:hyperlink r:id="rId145" w:history="1">
        <w:r w:rsidRPr="00807652">
          <w:rPr>
            <w:rFonts w:ascii="Times New Roman" w:hAnsi="Times New Roman" w:cs="Times New Roman"/>
            <w:sz w:val="24"/>
            <w:szCs w:val="24"/>
          </w:rPr>
          <w:t>concession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localement </w:t>
      </w:r>
      <w:r w:rsidRPr="00807652">
        <w:rPr>
          <w:rFonts w:ascii="Times New Roman" w:hAnsi="Times New Roman" w:cs="Times New Roman"/>
          <w:sz w:val="24"/>
          <w:szCs w:val="24"/>
        </w:rPr>
        <w:lastRenderedPageBreak/>
        <w:t xml:space="preserve">applicable, sauf pour celles dont le propriétaire veut expressément conserver la </w:t>
      </w:r>
      <w:hyperlink r:id="rId146" w:history="1">
        <w:r w:rsidRPr="00807652">
          <w:rPr>
            <w:rFonts w:ascii="Times New Roman" w:hAnsi="Times New Roman" w:cs="Times New Roman"/>
            <w:sz w:val="24"/>
            <w:szCs w:val="24"/>
          </w:rPr>
          <w:t>propriété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sans </w:t>
      </w:r>
      <w:hyperlink r:id="rId147" w:history="1">
        <w:r w:rsidRPr="00807652">
          <w:rPr>
            <w:rFonts w:ascii="Times New Roman" w:hAnsi="Times New Roman" w:cs="Times New Roman"/>
            <w:sz w:val="24"/>
            <w:szCs w:val="24"/>
          </w:rPr>
          <w:t>pouvoir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continuer à percevoir de redevances, ce qui enlève d’ailleurs tout </w:t>
      </w:r>
      <w:hyperlink r:id="rId148" w:history="1">
        <w:r w:rsidRPr="00807652">
          <w:rPr>
            <w:rFonts w:ascii="Times New Roman" w:hAnsi="Times New Roman" w:cs="Times New Roman"/>
            <w:sz w:val="24"/>
            <w:szCs w:val="24"/>
          </w:rPr>
          <w:t>intérêt</w:t>
        </w:r>
      </w:hyperlink>
      <w:r w:rsidR="00043365">
        <w:rPr>
          <w:rFonts w:ascii="Times New Roman" w:hAnsi="Times New Roman" w:cs="Times New Roman"/>
          <w:sz w:val="24"/>
          <w:szCs w:val="24"/>
        </w:rPr>
        <w:t xml:space="preserve"> à un tel choix ;</w:t>
      </w:r>
    </w:p>
    <w:p w:rsidR="00043365" w:rsidRDefault="00043365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t xml:space="preserve">Que les dispositions du </w:t>
      </w:r>
      <w:hyperlink r:id="rId149" w:history="1">
        <w:r w:rsidRPr="00807652">
          <w:rPr>
            <w:rFonts w:ascii="Times New Roman" w:hAnsi="Times New Roman" w:cs="Times New Roman"/>
            <w:sz w:val="24"/>
            <w:szCs w:val="24"/>
          </w:rPr>
          <w:t>décret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du 29 mars 1955 relatif au renforcement des colonnes montantes viennent conforter ce principe d’incorporation, dans la mesure elles en excluent uniquement les colonnes montantes appartenant aux propriétaires de l’</w:t>
      </w:r>
      <w:hyperlink r:id="rId150" w:history="1">
        <w:r w:rsidRPr="00807652">
          <w:rPr>
            <w:rFonts w:ascii="Times New Roman" w:hAnsi="Times New Roman" w:cs="Times New Roman"/>
            <w:sz w:val="24"/>
            <w:szCs w:val="24"/>
          </w:rPr>
          <w:t>immeuble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dans lequel elles sont établies et pour lesquels ces derniers ne perçoivent aucune </w:t>
      </w:r>
      <w:hyperlink r:id="rId151" w:history="1">
        <w:r w:rsidRPr="00807652">
          <w:rPr>
            <w:rFonts w:ascii="Times New Roman" w:hAnsi="Times New Roman" w:cs="Times New Roman"/>
            <w:sz w:val="24"/>
            <w:szCs w:val="24"/>
          </w:rPr>
          <w:t>redevance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ou acceptent pour l’avenir de n’en percevoir aucune ;</w:t>
      </w:r>
    </w:p>
    <w:p w:rsidR="00043365" w:rsidRDefault="00043365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t xml:space="preserve">Qu’il n’est ainsi fait </w:t>
      </w:r>
      <w:hyperlink r:id="rId152" w:history="1">
        <w:r w:rsidRPr="00807652">
          <w:rPr>
            <w:rFonts w:ascii="Times New Roman" w:hAnsi="Times New Roman" w:cs="Times New Roman"/>
            <w:sz w:val="24"/>
            <w:szCs w:val="24"/>
          </w:rPr>
          <w:t>exception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à l’incorporation au réseau public des colonnes montantes que dans l’hypothèse où le propriétaire concerné fait le choix de conserver la </w:t>
      </w:r>
      <w:hyperlink r:id="rId153" w:history="1">
        <w:r w:rsidRPr="00807652">
          <w:rPr>
            <w:rFonts w:ascii="Times New Roman" w:hAnsi="Times New Roman" w:cs="Times New Roman"/>
            <w:sz w:val="24"/>
            <w:szCs w:val="24"/>
          </w:rPr>
          <w:t>propriété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 la colonne, choix qui doit être porté à la connaissance du gestionnaire du réseau public, sans qu’il y ait lieu de distinguer selon la date d’</w:t>
      </w:r>
      <w:hyperlink r:id="rId154" w:history="1">
        <w:r w:rsidRPr="00807652">
          <w:rPr>
            <w:rFonts w:ascii="Times New Roman" w:hAnsi="Times New Roman" w:cs="Times New Roman"/>
            <w:sz w:val="24"/>
            <w:szCs w:val="24"/>
          </w:rPr>
          <w:t>installation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 la colonne montante ;</w:t>
      </w:r>
    </w:p>
    <w:p w:rsidR="00043365" w:rsidRDefault="00043365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t xml:space="preserve">Que la </w:t>
      </w:r>
      <w:hyperlink r:id="rId155" w:history="1">
        <w:r w:rsidRPr="00807652">
          <w:rPr>
            <w:rFonts w:ascii="Times New Roman" w:hAnsi="Times New Roman" w:cs="Times New Roman"/>
            <w:sz w:val="24"/>
            <w:szCs w:val="24"/>
          </w:rPr>
          <w:t>charge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 la </w:t>
      </w:r>
      <w:hyperlink r:id="rId156" w:history="1">
        <w:r w:rsidRPr="00807652">
          <w:rPr>
            <w:rFonts w:ascii="Times New Roman" w:hAnsi="Times New Roman" w:cs="Times New Roman"/>
            <w:sz w:val="24"/>
            <w:szCs w:val="24"/>
          </w:rPr>
          <w:t>preuve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 l’exclusion de la colonne montante de la </w:t>
      </w:r>
      <w:hyperlink r:id="rId157" w:history="1">
        <w:r w:rsidRPr="00807652">
          <w:rPr>
            <w:rFonts w:ascii="Times New Roman" w:hAnsi="Times New Roman" w:cs="Times New Roman"/>
            <w:sz w:val="24"/>
            <w:szCs w:val="24"/>
          </w:rPr>
          <w:t>concession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 la </w:t>
      </w:r>
      <w:hyperlink r:id="rId158" w:history="1">
        <w:r w:rsidRPr="00807652">
          <w:rPr>
            <w:rFonts w:ascii="Times New Roman" w:hAnsi="Times New Roman" w:cs="Times New Roman"/>
            <w:sz w:val="24"/>
            <w:szCs w:val="24"/>
          </w:rPr>
          <w:t>distribution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publique d’électricité incombe donc à la société </w:t>
      </w:r>
      <w:hyperlink r:id="rId159" w:history="1">
        <w:r w:rsidRPr="00807652">
          <w:rPr>
            <w:rFonts w:ascii="Times New Roman" w:hAnsi="Times New Roman" w:cs="Times New Roman"/>
            <w:sz w:val="24"/>
            <w:szCs w:val="24"/>
          </w:rPr>
          <w:t>ENEDIS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, laquelle doit démontrer que le propriétaire a voulu conserver la </w:t>
      </w:r>
      <w:hyperlink r:id="rId160" w:history="1">
        <w:r w:rsidRPr="00807652">
          <w:rPr>
            <w:rFonts w:ascii="Times New Roman" w:hAnsi="Times New Roman" w:cs="Times New Roman"/>
            <w:sz w:val="24"/>
            <w:szCs w:val="24"/>
          </w:rPr>
          <w:t>propriété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 la colonne montante ;</w:t>
      </w:r>
    </w:p>
    <w:p w:rsidR="00043365" w:rsidRDefault="00043365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t xml:space="preserve">Que la société </w:t>
      </w:r>
      <w:hyperlink r:id="rId161" w:history="1">
        <w:r w:rsidRPr="00807652">
          <w:rPr>
            <w:rFonts w:ascii="Times New Roman" w:hAnsi="Times New Roman" w:cs="Times New Roman"/>
            <w:sz w:val="24"/>
            <w:szCs w:val="24"/>
          </w:rPr>
          <w:t>ENEDIS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ne peut trouver cette </w:t>
      </w:r>
      <w:hyperlink r:id="rId162" w:history="1">
        <w:r w:rsidRPr="00807652">
          <w:rPr>
            <w:rFonts w:ascii="Times New Roman" w:hAnsi="Times New Roman" w:cs="Times New Roman"/>
            <w:sz w:val="24"/>
            <w:szCs w:val="24"/>
          </w:rPr>
          <w:t>preuve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dans les dispositions du </w:t>
      </w:r>
      <w:hyperlink r:id="rId163" w:history="1">
        <w:r w:rsidRPr="00807652">
          <w:rPr>
            <w:rFonts w:ascii="Times New Roman" w:hAnsi="Times New Roman" w:cs="Times New Roman"/>
            <w:sz w:val="24"/>
            <w:szCs w:val="24"/>
          </w:rPr>
          <w:t>contrat de concession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signé par le </w:t>
      </w:r>
      <w:hyperlink r:id="rId164" w:history="1">
        <w:r w:rsidRPr="00807652">
          <w:rPr>
            <w:rFonts w:ascii="Times New Roman" w:hAnsi="Times New Roman" w:cs="Times New Roman"/>
            <w:sz w:val="24"/>
            <w:szCs w:val="24"/>
          </w:rPr>
          <w:t>syndicat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intercommunal en 1996 et son </w:t>
      </w:r>
      <w:hyperlink r:id="rId165" w:history="1">
        <w:r w:rsidRPr="00807652">
          <w:rPr>
            <w:rFonts w:ascii="Times New Roman" w:hAnsi="Times New Roman" w:cs="Times New Roman"/>
            <w:sz w:val="24"/>
            <w:szCs w:val="24"/>
          </w:rPr>
          <w:t>avenant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n°1 prenant en compte l’intégration du réseau de la </w:t>
      </w:r>
      <w:hyperlink r:id="rId166" w:history="1">
        <w:r w:rsidRPr="00807652">
          <w:rPr>
            <w:rFonts w:ascii="Times New Roman" w:hAnsi="Times New Roman" w:cs="Times New Roman"/>
            <w:sz w:val="24"/>
            <w:szCs w:val="24"/>
          </w:rPr>
          <w:t>commune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 Corbeil-Essonnes ; qu’en effet,</w:t>
      </w:r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t xml:space="preserve">si, l’article 2 précise que les installations affectées à la </w:t>
      </w:r>
      <w:hyperlink r:id="rId167" w:history="1">
        <w:r w:rsidRPr="00807652">
          <w:rPr>
            <w:rFonts w:ascii="Times New Roman" w:hAnsi="Times New Roman" w:cs="Times New Roman"/>
            <w:sz w:val="24"/>
            <w:szCs w:val="24"/>
          </w:rPr>
          <w:t>distribution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comprennent aussi les branchements visés à l’article 15, ce dernier article énonce que la </w:t>
      </w:r>
      <w:hyperlink r:id="rId168" w:history="1">
        <w:r w:rsidRPr="00807652">
          <w:rPr>
            <w:rFonts w:ascii="Times New Roman" w:hAnsi="Times New Roman" w:cs="Times New Roman"/>
            <w:sz w:val="24"/>
            <w:szCs w:val="24"/>
          </w:rPr>
          <w:t>partie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des branchements antérieurement dénommés branchements intérieurs et notamment les colonnes montantes déjà existantes, qui appartient aux propriétaires de l’</w:t>
      </w:r>
      <w:hyperlink r:id="rId169" w:history="1">
        <w:r w:rsidRPr="00807652">
          <w:rPr>
            <w:rFonts w:ascii="Times New Roman" w:hAnsi="Times New Roman" w:cs="Times New Roman"/>
            <w:sz w:val="24"/>
            <w:szCs w:val="24"/>
          </w:rPr>
          <w:t>immeuble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continuera à être entretenue et renouvelée par ces derniers, à moins qu’ils ne fassent </w:t>
      </w:r>
      <w:hyperlink r:id="rId170" w:history="1">
        <w:r w:rsidRPr="00807652">
          <w:rPr>
            <w:rFonts w:ascii="Times New Roman" w:hAnsi="Times New Roman" w:cs="Times New Roman"/>
            <w:sz w:val="24"/>
            <w:szCs w:val="24"/>
          </w:rPr>
          <w:t>abandon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 leur droits ;</w:t>
      </w:r>
    </w:p>
    <w:p w:rsidR="00043365" w:rsidRDefault="00043365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t xml:space="preserve">Que ces textes, qui ont vocation à régir les immeubles situés sur les communes qui ont institué le SIARCE gestionnaire de leur réseau, subordonnent la </w:t>
      </w:r>
      <w:hyperlink r:id="rId171" w:history="1">
        <w:r w:rsidRPr="00807652">
          <w:rPr>
            <w:rFonts w:ascii="Times New Roman" w:hAnsi="Times New Roman" w:cs="Times New Roman"/>
            <w:sz w:val="24"/>
            <w:szCs w:val="24"/>
          </w:rPr>
          <w:t>charge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 l’entretien de la colonne montante par le propriétaire de l’</w:t>
      </w:r>
      <w:hyperlink r:id="rId172" w:history="1">
        <w:r w:rsidRPr="00807652">
          <w:rPr>
            <w:rFonts w:ascii="Times New Roman" w:hAnsi="Times New Roman" w:cs="Times New Roman"/>
            <w:sz w:val="24"/>
            <w:szCs w:val="24"/>
          </w:rPr>
          <w:t>immeuble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au fait qu’il en est propriétaire, ce dont la société </w:t>
      </w:r>
      <w:hyperlink r:id="rId173" w:history="1">
        <w:r w:rsidRPr="00807652">
          <w:rPr>
            <w:rFonts w:ascii="Times New Roman" w:hAnsi="Times New Roman" w:cs="Times New Roman"/>
            <w:sz w:val="24"/>
            <w:szCs w:val="24"/>
          </w:rPr>
          <w:t>ENEDIS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doit rapporter la </w:t>
      </w:r>
      <w:hyperlink r:id="rId174" w:history="1">
        <w:r w:rsidRPr="00807652">
          <w:rPr>
            <w:rFonts w:ascii="Times New Roman" w:hAnsi="Times New Roman" w:cs="Times New Roman"/>
            <w:sz w:val="24"/>
            <w:szCs w:val="24"/>
          </w:rPr>
          <w:t>preuve</w:t>
        </w:r>
      </w:hyperlink>
      <w:r w:rsidRPr="00807652">
        <w:rPr>
          <w:rFonts w:ascii="Times New Roman" w:hAnsi="Times New Roman" w:cs="Times New Roman"/>
          <w:sz w:val="24"/>
          <w:szCs w:val="24"/>
        </w:rPr>
        <w:t> ;</w:t>
      </w:r>
    </w:p>
    <w:p w:rsidR="00043365" w:rsidRDefault="00043365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t>Que, ne contestant pas la nécessité de remettre en l’</w:t>
      </w:r>
      <w:hyperlink r:id="rId175" w:history="1">
        <w:r w:rsidRPr="00807652">
          <w:rPr>
            <w:rFonts w:ascii="Times New Roman" w:hAnsi="Times New Roman" w:cs="Times New Roman"/>
            <w:sz w:val="24"/>
            <w:szCs w:val="24"/>
          </w:rPr>
          <w:t>état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les colonnes montantes litigieuses, la société </w:t>
      </w:r>
      <w:hyperlink r:id="rId176" w:history="1">
        <w:r w:rsidRPr="00807652">
          <w:rPr>
            <w:rFonts w:ascii="Times New Roman" w:hAnsi="Times New Roman" w:cs="Times New Roman"/>
            <w:sz w:val="24"/>
            <w:szCs w:val="24"/>
          </w:rPr>
          <w:t>ENEDIS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sera, en conséquence, condamnée à procéder à ces travaux, dans les termes du </w:t>
      </w:r>
      <w:hyperlink r:id="rId177" w:history="1">
        <w:r w:rsidRPr="00807652">
          <w:rPr>
            <w:rFonts w:ascii="Times New Roman" w:hAnsi="Times New Roman" w:cs="Times New Roman"/>
            <w:sz w:val="24"/>
            <w:szCs w:val="24"/>
          </w:rPr>
          <w:t>dispositif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ci-dessous, étant rappelé que l’article </w:t>
      </w:r>
      <w:hyperlink r:id="rId178" w:history="1">
        <w:r w:rsidRPr="00807652">
          <w:rPr>
            <w:rFonts w:ascii="Times New Roman" w:hAnsi="Times New Roman" w:cs="Times New Roman"/>
            <w:sz w:val="24"/>
            <w:szCs w:val="24"/>
          </w:rPr>
          <w:t>L. 131-2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 du </w:t>
      </w:r>
      <w:hyperlink r:id="rId179" w:history="1">
        <w:r w:rsidRPr="00807652">
          <w:rPr>
            <w:rFonts w:ascii="Times New Roman" w:hAnsi="Times New Roman" w:cs="Times New Roman"/>
            <w:sz w:val="24"/>
            <w:szCs w:val="24"/>
          </w:rPr>
          <w:t>code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des procédures civiles d’exécution exclut qu’une </w:t>
      </w:r>
      <w:hyperlink r:id="rId180" w:history="1">
        <w:r w:rsidRPr="00807652">
          <w:rPr>
            <w:rFonts w:ascii="Times New Roman" w:hAnsi="Times New Roman" w:cs="Times New Roman"/>
            <w:sz w:val="24"/>
            <w:szCs w:val="24"/>
          </w:rPr>
          <w:t>astreinte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définitive puisse être prononcée d’emblée ;</w:t>
      </w:r>
    </w:p>
    <w:p w:rsidR="00043365" w:rsidRDefault="00043365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t xml:space="preserve">Considérant que, dès lors que la cour fait droit à la demande principale de la société </w:t>
      </w:r>
      <w:hyperlink r:id="rId181" w:history="1">
        <w:r w:rsidRPr="00807652">
          <w:rPr>
            <w:rFonts w:ascii="Times New Roman" w:hAnsi="Times New Roman" w:cs="Times New Roman"/>
            <w:sz w:val="24"/>
            <w:szCs w:val="24"/>
          </w:rPr>
          <w:t>Les résidences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, il n’y a pas lieu d’examiner la demande présentée, à </w:t>
      </w:r>
      <w:hyperlink r:id="rId182" w:history="1">
        <w:r w:rsidRPr="00807652">
          <w:rPr>
            <w:rFonts w:ascii="Times New Roman" w:hAnsi="Times New Roman" w:cs="Times New Roman"/>
            <w:sz w:val="24"/>
            <w:szCs w:val="24"/>
          </w:rPr>
          <w:t>titre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</w:t>
      </w:r>
      <w:hyperlink r:id="rId183" w:history="1">
        <w:r w:rsidRPr="00807652">
          <w:rPr>
            <w:rFonts w:ascii="Times New Roman" w:hAnsi="Times New Roman" w:cs="Times New Roman"/>
            <w:sz w:val="24"/>
            <w:szCs w:val="24"/>
          </w:rPr>
          <w:t>subsidiaire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par cette société et sa </w:t>
      </w:r>
      <w:hyperlink r:id="rId184" w:history="1">
        <w:r w:rsidRPr="00807652">
          <w:rPr>
            <w:rFonts w:ascii="Times New Roman" w:hAnsi="Times New Roman" w:cs="Times New Roman"/>
            <w:sz w:val="24"/>
            <w:szCs w:val="24"/>
          </w:rPr>
          <w:t>recevabilité</w:t>
        </w:r>
      </w:hyperlink>
      <w:r w:rsidRPr="00807652">
        <w:rPr>
          <w:rFonts w:ascii="Times New Roman" w:hAnsi="Times New Roman" w:cs="Times New Roman"/>
          <w:sz w:val="24"/>
          <w:szCs w:val="24"/>
        </w:rPr>
        <w:t> ;</w:t>
      </w:r>
    </w:p>
    <w:p w:rsidR="00043365" w:rsidRDefault="00043365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t xml:space="preserve">Considérant que la société </w:t>
      </w:r>
      <w:hyperlink r:id="rId185" w:history="1">
        <w:r w:rsidRPr="00807652">
          <w:rPr>
            <w:rFonts w:ascii="Times New Roman" w:hAnsi="Times New Roman" w:cs="Times New Roman"/>
            <w:sz w:val="24"/>
            <w:szCs w:val="24"/>
          </w:rPr>
          <w:t>ENEDIS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, </w:t>
      </w:r>
      <w:hyperlink r:id="rId186" w:history="1">
        <w:r w:rsidRPr="00807652">
          <w:rPr>
            <w:rFonts w:ascii="Times New Roman" w:hAnsi="Times New Roman" w:cs="Times New Roman"/>
            <w:sz w:val="24"/>
            <w:szCs w:val="24"/>
          </w:rPr>
          <w:t>partie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perdante, sera condamnée aux </w:t>
      </w:r>
      <w:hyperlink r:id="rId187" w:history="1">
        <w:r w:rsidRPr="00807652">
          <w:rPr>
            <w:rFonts w:ascii="Times New Roman" w:hAnsi="Times New Roman" w:cs="Times New Roman"/>
            <w:sz w:val="24"/>
            <w:szCs w:val="24"/>
          </w:rPr>
          <w:t>dépens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 première</w:t>
      </w:r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hyperlink r:id="rId188" w:history="1">
        <w:proofErr w:type="gramStart"/>
        <w:r w:rsidRPr="00807652">
          <w:rPr>
            <w:rFonts w:ascii="Times New Roman" w:hAnsi="Times New Roman" w:cs="Times New Roman"/>
            <w:sz w:val="24"/>
            <w:szCs w:val="24"/>
          </w:rPr>
          <w:t>instance</w:t>
        </w:r>
        <w:proofErr w:type="gramEnd"/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et d’</w:t>
      </w:r>
      <w:hyperlink r:id="rId189" w:history="1">
        <w:r w:rsidRPr="00807652">
          <w:rPr>
            <w:rFonts w:ascii="Times New Roman" w:hAnsi="Times New Roman" w:cs="Times New Roman"/>
            <w:sz w:val="24"/>
            <w:szCs w:val="24"/>
          </w:rPr>
          <w:t>appel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et devra rembourser les </w:t>
      </w:r>
      <w:hyperlink r:id="rId190" w:history="1">
        <w:r w:rsidRPr="00807652">
          <w:rPr>
            <w:rFonts w:ascii="Times New Roman" w:hAnsi="Times New Roman" w:cs="Times New Roman"/>
            <w:sz w:val="24"/>
            <w:szCs w:val="24"/>
          </w:rPr>
          <w:t>frais irrépétibles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exposés par l’appelante dans la limite de 3 000 euros ;</w:t>
      </w:r>
    </w:p>
    <w:p w:rsidR="00043365" w:rsidRDefault="00043365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07652" w:rsidRPr="00043365" w:rsidRDefault="00807652" w:rsidP="00807652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365">
        <w:rPr>
          <w:rFonts w:ascii="Times New Roman" w:hAnsi="Times New Roman" w:cs="Times New Roman"/>
          <w:b/>
          <w:sz w:val="24"/>
          <w:szCs w:val="24"/>
        </w:rPr>
        <w:t>PAR CES MOTIFS</w:t>
      </w:r>
    </w:p>
    <w:p w:rsidR="00043365" w:rsidRDefault="00043365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t xml:space="preserve">La Cour, statuant en </w:t>
      </w:r>
      <w:hyperlink r:id="rId191" w:history="1">
        <w:r w:rsidRPr="00807652">
          <w:rPr>
            <w:rFonts w:ascii="Times New Roman" w:hAnsi="Times New Roman" w:cs="Times New Roman"/>
            <w:sz w:val="24"/>
            <w:szCs w:val="24"/>
          </w:rPr>
          <w:t>dernier ressort</w:t>
        </w:r>
      </w:hyperlink>
      <w:r w:rsidRPr="00807652">
        <w:rPr>
          <w:rFonts w:ascii="Times New Roman" w:hAnsi="Times New Roman" w:cs="Times New Roman"/>
          <w:sz w:val="24"/>
          <w:szCs w:val="24"/>
        </w:rPr>
        <w:t>, contradictoirement et publiquement par mise à disposition de la décision au greffe,</w:t>
      </w:r>
    </w:p>
    <w:p w:rsidR="00043365" w:rsidRPr="00807652" w:rsidRDefault="00043365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t xml:space="preserve">Infirme le jugement rendu par le tribunal de grande </w:t>
      </w:r>
      <w:hyperlink r:id="rId192" w:history="1">
        <w:r w:rsidRPr="00807652">
          <w:rPr>
            <w:rFonts w:ascii="Times New Roman" w:hAnsi="Times New Roman" w:cs="Times New Roman"/>
            <w:sz w:val="24"/>
            <w:szCs w:val="24"/>
          </w:rPr>
          <w:t>instance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d’Evry le 24 février 2017 ;</w:t>
      </w:r>
    </w:p>
    <w:p w:rsidR="00043365" w:rsidRDefault="00043365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t>Statuant à nouveau,</w:t>
      </w:r>
    </w:p>
    <w:p w:rsidR="00043365" w:rsidRDefault="00043365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807652">
        <w:rPr>
          <w:rFonts w:ascii="Times New Roman" w:hAnsi="Times New Roman" w:cs="Times New Roman"/>
          <w:sz w:val="24"/>
          <w:szCs w:val="24"/>
        </w:rPr>
        <w:t xml:space="preserve">Condamne la société </w:t>
      </w:r>
      <w:hyperlink r:id="rId193" w:history="1">
        <w:r w:rsidRPr="00807652">
          <w:rPr>
            <w:rFonts w:ascii="Times New Roman" w:hAnsi="Times New Roman" w:cs="Times New Roman"/>
            <w:sz w:val="24"/>
            <w:szCs w:val="24"/>
          </w:rPr>
          <w:t>ENEDIS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à réaliser, à ses frais et sous sa responsabilité, les travaux de remise en état des colonnes montantes des immeubles situés à Corbeil-Essonnes, […] et 4, 5 et […] et, à défaut d’exécution de ces travaux, dans les quatre mois de la </w:t>
      </w:r>
      <w:hyperlink r:id="rId194" w:history="1">
        <w:r w:rsidRPr="00807652">
          <w:rPr>
            <w:rFonts w:ascii="Times New Roman" w:hAnsi="Times New Roman" w:cs="Times New Roman"/>
            <w:sz w:val="24"/>
            <w:szCs w:val="24"/>
          </w:rPr>
          <w:t>signification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du présent </w:t>
      </w:r>
      <w:hyperlink r:id="rId195" w:history="1">
        <w:r w:rsidRPr="00807652">
          <w:rPr>
            <w:rFonts w:ascii="Times New Roman" w:hAnsi="Times New Roman" w:cs="Times New Roman"/>
            <w:sz w:val="24"/>
            <w:szCs w:val="24"/>
          </w:rPr>
          <w:t>arrêt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et passé ce </w:t>
      </w:r>
      <w:hyperlink r:id="rId196" w:history="1">
        <w:r w:rsidRPr="00807652">
          <w:rPr>
            <w:rFonts w:ascii="Times New Roman" w:hAnsi="Times New Roman" w:cs="Times New Roman"/>
            <w:sz w:val="24"/>
            <w:szCs w:val="24"/>
          </w:rPr>
          <w:t>délai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, sous </w:t>
      </w:r>
      <w:hyperlink r:id="rId197" w:history="1">
        <w:r w:rsidRPr="00807652">
          <w:rPr>
            <w:rFonts w:ascii="Times New Roman" w:hAnsi="Times New Roman" w:cs="Times New Roman"/>
            <w:sz w:val="24"/>
            <w:szCs w:val="24"/>
          </w:rPr>
          <w:t>astreinte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</w:t>
      </w:r>
      <w:hyperlink r:id="rId198" w:history="1">
        <w:r w:rsidRPr="00807652">
          <w:rPr>
            <w:rFonts w:ascii="Times New Roman" w:hAnsi="Times New Roman" w:cs="Times New Roman"/>
            <w:sz w:val="24"/>
            <w:szCs w:val="24"/>
          </w:rPr>
          <w:t>provisoire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 100 euros par colonne et par jour de retard jusqu’à réalisation complète des travaux ;</w:t>
      </w:r>
    </w:p>
    <w:p w:rsidR="00043365" w:rsidRDefault="00043365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07652">
        <w:rPr>
          <w:rFonts w:ascii="Times New Roman" w:hAnsi="Times New Roman" w:cs="Times New Roman"/>
          <w:sz w:val="24"/>
          <w:szCs w:val="24"/>
        </w:rPr>
        <w:t xml:space="preserve">Condamne la société </w:t>
      </w:r>
      <w:hyperlink r:id="rId199" w:history="1">
        <w:r w:rsidRPr="00807652">
          <w:rPr>
            <w:rFonts w:ascii="Times New Roman" w:hAnsi="Times New Roman" w:cs="Times New Roman"/>
            <w:sz w:val="24"/>
            <w:szCs w:val="24"/>
          </w:rPr>
          <w:t>ENEDIS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à payer à la </w:t>
      </w:r>
      <w:hyperlink r:id="rId200" w:history="1">
        <w:r w:rsidRPr="00807652">
          <w:rPr>
            <w:rFonts w:ascii="Times New Roman" w:hAnsi="Times New Roman" w:cs="Times New Roman"/>
            <w:sz w:val="24"/>
            <w:szCs w:val="24"/>
          </w:rPr>
          <w:t>société anonyme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d’habitations à loyer modéré </w:t>
      </w:r>
      <w:hyperlink r:id="rId201" w:history="1">
        <w:r w:rsidRPr="00807652">
          <w:rPr>
            <w:rFonts w:ascii="Times New Roman" w:hAnsi="Times New Roman" w:cs="Times New Roman"/>
            <w:sz w:val="24"/>
            <w:szCs w:val="24"/>
          </w:rPr>
          <w:t>Les résidences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la somme de 3 000 euros en application de l’article </w:t>
      </w:r>
      <w:hyperlink r:id="rId202" w:history="1">
        <w:r w:rsidRPr="00807652">
          <w:rPr>
            <w:rFonts w:ascii="Times New Roman" w:hAnsi="Times New Roman" w:cs="Times New Roman"/>
            <w:sz w:val="24"/>
            <w:szCs w:val="24"/>
          </w:rPr>
          <w:t>700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 du </w:t>
      </w:r>
      <w:hyperlink r:id="rId203" w:history="1">
        <w:r w:rsidRPr="00807652">
          <w:rPr>
            <w:rFonts w:ascii="Times New Roman" w:hAnsi="Times New Roman" w:cs="Times New Roman"/>
            <w:sz w:val="24"/>
            <w:szCs w:val="24"/>
          </w:rPr>
          <w:t>code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 </w:t>
      </w:r>
      <w:hyperlink r:id="rId204" w:history="1">
        <w:r w:rsidRPr="00807652">
          <w:rPr>
            <w:rFonts w:ascii="Times New Roman" w:hAnsi="Times New Roman" w:cs="Times New Roman"/>
            <w:sz w:val="24"/>
            <w:szCs w:val="24"/>
          </w:rPr>
          <w:t>procédure civile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et aux </w:t>
      </w:r>
      <w:hyperlink r:id="rId205" w:history="1">
        <w:r w:rsidRPr="00807652">
          <w:rPr>
            <w:rFonts w:ascii="Times New Roman" w:hAnsi="Times New Roman" w:cs="Times New Roman"/>
            <w:sz w:val="24"/>
            <w:szCs w:val="24"/>
          </w:rPr>
          <w:t>dépens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 première </w:t>
      </w:r>
      <w:hyperlink r:id="rId206" w:history="1">
        <w:r w:rsidRPr="00807652">
          <w:rPr>
            <w:rFonts w:ascii="Times New Roman" w:hAnsi="Times New Roman" w:cs="Times New Roman"/>
            <w:sz w:val="24"/>
            <w:szCs w:val="24"/>
          </w:rPr>
          <w:t>instance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et d’</w:t>
      </w:r>
      <w:hyperlink r:id="rId207" w:history="1">
        <w:r w:rsidRPr="00807652">
          <w:rPr>
            <w:rFonts w:ascii="Times New Roman" w:hAnsi="Times New Roman" w:cs="Times New Roman"/>
            <w:sz w:val="24"/>
            <w:szCs w:val="24"/>
          </w:rPr>
          <w:t>appel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qui seront recouvrés conformément aux dispositions de l’article </w:t>
      </w:r>
      <w:hyperlink r:id="rId208" w:history="1">
        <w:r w:rsidRPr="00807652">
          <w:rPr>
            <w:rFonts w:ascii="Times New Roman" w:hAnsi="Times New Roman" w:cs="Times New Roman"/>
            <w:sz w:val="24"/>
            <w:szCs w:val="24"/>
          </w:rPr>
          <w:t>699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 du </w:t>
      </w:r>
      <w:hyperlink r:id="rId209" w:history="1">
        <w:r w:rsidRPr="00807652">
          <w:rPr>
            <w:rFonts w:ascii="Times New Roman" w:hAnsi="Times New Roman" w:cs="Times New Roman"/>
            <w:sz w:val="24"/>
            <w:szCs w:val="24"/>
          </w:rPr>
          <w:t>code</w:t>
        </w:r>
      </w:hyperlink>
      <w:r w:rsidRPr="00807652">
        <w:rPr>
          <w:rFonts w:ascii="Times New Roman" w:hAnsi="Times New Roman" w:cs="Times New Roman"/>
          <w:sz w:val="24"/>
          <w:szCs w:val="24"/>
        </w:rPr>
        <w:t xml:space="preserve"> de </w:t>
      </w:r>
      <w:hyperlink r:id="rId210" w:history="1">
        <w:r w:rsidRPr="00807652">
          <w:rPr>
            <w:rFonts w:ascii="Times New Roman" w:hAnsi="Times New Roman" w:cs="Times New Roman"/>
            <w:sz w:val="24"/>
            <w:szCs w:val="24"/>
          </w:rPr>
          <w:t>procédure civile</w:t>
        </w:r>
      </w:hyperlink>
      <w:r w:rsidRPr="00807652">
        <w:rPr>
          <w:rFonts w:ascii="Times New Roman" w:hAnsi="Times New Roman" w:cs="Times New Roman"/>
          <w:sz w:val="24"/>
          <w:szCs w:val="24"/>
        </w:rPr>
        <w:t>.</w:t>
      </w:r>
    </w:p>
    <w:p w:rsidR="00807652" w:rsidRPr="00807652" w:rsidRDefault="00807652" w:rsidP="0080765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sectPr w:rsidR="00807652" w:rsidRPr="00807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B3"/>
    <w:rsid w:val="00043365"/>
    <w:rsid w:val="00625281"/>
    <w:rsid w:val="00662BB3"/>
    <w:rsid w:val="00807652"/>
    <w:rsid w:val="00C9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076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076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9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285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48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37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73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7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057418">
                                                  <w:marLeft w:val="0"/>
                                                  <w:marRight w:val="0"/>
                                                  <w:marTop w:val="48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82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738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single" w:sz="6" w:space="0" w:color="E6E6E6"/>
                                                        <w:right w:val="single" w:sz="6" w:space="0" w:color="E6E6E6"/>
                                                      </w:divBdr>
                                                      <w:divsChild>
                                                        <w:div w:id="1407874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685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423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528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37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BFBFB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746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3366BB"/>
                                                                                <w:left w:val="none" w:sz="0" w:space="0" w:color="3366BB"/>
                                                                                <w:bottom w:val="none" w:sz="0" w:space="0" w:color="3366BB"/>
                                                                                <w:right w:val="none" w:sz="0" w:space="0" w:color="3366B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215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3366BB"/>
                                                                                    <w:left w:val="none" w:sz="0" w:space="0" w:color="3366BB"/>
                                                                                    <w:bottom w:val="none" w:sz="0" w:space="0" w:color="3366BB"/>
                                                                                    <w:right w:val="none" w:sz="0" w:space="0" w:color="3366B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7247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3366BB"/>
                                                                                <w:left w:val="none" w:sz="0" w:space="0" w:color="3366BB"/>
                                                                                <w:bottom w:val="none" w:sz="0" w:space="0" w:color="3366BB"/>
                                                                                <w:right w:val="none" w:sz="0" w:space="0" w:color="3366B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534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3366BB"/>
                                                                                    <w:left w:val="none" w:sz="0" w:space="0" w:color="3366BB"/>
                                                                                    <w:bottom w:val="none" w:sz="0" w:space="0" w:color="3366BB"/>
                                                                                    <w:right w:val="none" w:sz="0" w:space="0" w:color="3366B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6557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3366BB"/>
                                                                                <w:left w:val="none" w:sz="0" w:space="0" w:color="3366BB"/>
                                                                                <w:bottom w:val="none" w:sz="0" w:space="0" w:color="3366BB"/>
                                                                                <w:right w:val="none" w:sz="0" w:space="0" w:color="3366B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969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3366BB"/>
                                                                                    <w:left w:val="none" w:sz="0" w:space="0" w:color="3366BB"/>
                                                                                    <w:bottom w:val="none" w:sz="0" w:space="0" w:color="3366BB"/>
                                                                                    <w:right w:val="none" w:sz="0" w:space="0" w:color="3366B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1893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53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300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9991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0158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763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1431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655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153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27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07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6281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8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529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1301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479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265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34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1454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79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573978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42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1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11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503998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633088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4607143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0091407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523462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4184285">
                                                      <w:marLeft w:val="0"/>
                                                      <w:marRight w:val="0"/>
                                                      <w:marTop w:val="48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41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550838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2248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0733566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21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370230">
                                              <w:marLeft w:val="0"/>
                                              <w:marRight w:val="0"/>
                                              <w:marTop w:val="48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32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octrine.fr/e/ENT62B3DBB7B1D12B53A919?source=decisionPageLink" TargetMode="External"/><Relationship Id="rId21" Type="http://schemas.openxmlformats.org/officeDocument/2006/relationships/hyperlink" Target="https://www.doctrine.fr/?q=code&amp;source=fichekeywordlink" TargetMode="External"/><Relationship Id="rId42" Type="http://schemas.openxmlformats.org/officeDocument/2006/relationships/hyperlink" Target="https://www.doctrine.fr/?q=charge&amp;source=fichekeywordlink" TargetMode="External"/><Relationship Id="rId63" Type="http://schemas.openxmlformats.org/officeDocument/2006/relationships/hyperlink" Target="https://www.doctrine.fr/?q=d%C3%A9lai&amp;source=fichekeywordlink" TargetMode="External"/><Relationship Id="rId84" Type="http://schemas.openxmlformats.org/officeDocument/2006/relationships/hyperlink" Target="https://www.doctrine.fr/?q=fond&amp;source=fichekeywordlink" TargetMode="External"/><Relationship Id="rId138" Type="http://schemas.openxmlformats.org/officeDocument/2006/relationships/hyperlink" Target="https://www.doctrine.fr/?q=distribution&amp;source=fichekeywordlink" TargetMode="External"/><Relationship Id="rId159" Type="http://schemas.openxmlformats.org/officeDocument/2006/relationships/hyperlink" Target="https://www.doctrine.fr/e/ENT5DDABEF1783A1254C64C?source=decisionPageLink" TargetMode="External"/><Relationship Id="rId170" Type="http://schemas.openxmlformats.org/officeDocument/2006/relationships/hyperlink" Target="https://www.doctrine.fr/?q=abandon&amp;source=fichekeywordlink" TargetMode="External"/><Relationship Id="rId191" Type="http://schemas.openxmlformats.org/officeDocument/2006/relationships/hyperlink" Target="https://www.doctrine.fr/?q=dernier%20ressort&amp;source=fichekeywordlink" TargetMode="External"/><Relationship Id="rId205" Type="http://schemas.openxmlformats.org/officeDocument/2006/relationships/hyperlink" Target="https://www.doctrine.fr/?q=d%C3%A9pens&amp;source=fichekeywordlink" TargetMode="External"/><Relationship Id="rId107" Type="http://schemas.openxmlformats.org/officeDocument/2006/relationships/hyperlink" Target="https://www.doctrine.fr/?q=conclusions&amp;source=fichekeywordlink" TargetMode="External"/><Relationship Id="rId11" Type="http://schemas.openxmlformats.org/officeDocument/2006/relationships/hyperlink" Target="https://www.doctrine.fr/p/cabinet/LFM197C48744FA48837BE5F?source=decisionPageLink" TargetMode="External"/><Relationship Id="rId32" Type="http://schemas.openxmlformats.org/officeDocument/2006/relationships/hyperlink" Target="https://www.doctrine.fr/?q=code&amp;source=fichekeywordlink" TargetMode="External"/><Relationship Id="rId37" Type="http://schemas.openxmlformats.org/officeDocument/2006/relationships/hyperlink" Target="https://www.doctrine.fr/?q=intervention&amp;source=fichekeywordlink" TargetMode="External"/><Relationship Id="rId53" Type="http://schemas.openxmlformats.org/officeDocument/2006/relationships/hyperlink" Target="https://www.doctrine.fr/?q=conclusions&amp;source=fichekeywordlink" TargetMode="External"/><Relationship Id="rId58" Type="http://schemas.openxmlformats.org/officeDocument/2006/relationships/hyperlink" Target="https://www.doctrine.fr/?q=d%C3%A9cret&amp;source=fichekeywordlink" TargetMode="External"/><Relationship Id="rId74" Type="http://schemas.openxmlformats.org/officeDocument/2006/relationships/hyperlink" Target="https://www.doctrine.fr/?q=constat&amp;source=fichekeywordlink" TargetMode="External"/><Relationship Id="rId79" Type="http://schemas.openxmlformats.org/officeDocument/2006/relationships/hyperlink" Target="https://www.doctrine.fr/?q=cause&amp;source=fichekeywordlink" TargetMode="External"/><Relationship Id="rId102" Type="http://schemas.openxmlformats.org/officeDocument/2006/relationships/hyperlink" Target="https://www.doctrine.fr/?q=confirmation&amp;source=fichekeywordlink" TargetMode="External"/><Relationship Id="rId123" Type="http://schemas.openxmlformats.org/officeDocument/2006/relationships/hyperlink" Target="https://www.doctrine.fr/?q=preuve&amp;source=fichekeywordlink" TargetMode="External"/><Relationship Id="rId128" Type="http://schemas.openxmlformats.org/officeDocument/2006/relationships/hyperlink" Target="https://www.doctrine.fr/?q=ressort&amp;source=fichekeywordlink" TargetMode="External"/><Relationship Id="rId144" Type="http://schemas.openxmlformats.org/officeDocument/2006/relationships/hyperlink" Target="https://www.doctrine.fr/?q=signature&amp;source=fichekeywordlink" TargetMode="External"/><Relationship Id="rId149" Type="http://schemas.openxmlformats.org/officeDocument/2006/relationships/hyperlink" Target="https://www.doctrine.fr/?q=d%C3%A9cret&amp;source=fichekeywordlink" TargetMode="External"/><Relationship Id="rId5" Type="http://schemas.openxmlformats.org/officeDocument/2006/relationships/hyperlink" Target="https://www.doctrine.fr/e/ENT62B3DBB7B1D12B53A919?source=decisionPageLink" TargetMode="External"/><Relationship Id="rId90" Type="http://schemas.openxmlformats.org/officeDocument/2006/relationships/hyperlink" Target="https://www.doctrine.fr/?q=code&amp;source=fichekeywordlink" TargetMode="External"/><Relationship Id="rId95" Type="http://schemas.openxmlformats.org/officeDocument/2006/relationships/hyperlink" Target="https://www.doctrine.fr/?q=proc%C3%A9dure%20civile&amp;source=fichekeywordlink" TargetMode="External"/><Relationship Id="rId160" Type="http://schemas.openxmlformats.org/officeDocument/2006/relationships/hyperlink" Target="https://www.doctrine.fr/?q=propri%C3%A9t%C3%A9&amp;source=fichekeywordlink" TargetMode="External"/><Relationship Id="rId165" Type="http://schemas.openxmlformats.org/officeDocument/2006/relationships/hyperlink" Target="https://www.doctrine.fr/?q=avenant&amp;source=fichekeywordlink" TargetMode="External"/><Relationship Id="rId181" Type="http://schemas.openxmlformats.org/officeDocument/2006/relationships/hyperlink" Target="https://www.doctrine.fr/e/ENT62B3DBB7B1D12B53A919?source=decisionPageLink" TargetMode="External"/><Relationship Id="rId186" Type="http://schemas.openxmlformats.org/officeDocument/2006/relationships/hyperlink" Target="https://www.doctrine.fr/?q=partie&amp;source=fichekeywordlink" TargetMode="External"/><Relationship Id="rId211" Type="http://schemas.openxmlformats.org/officeDocument/2006/relationships/fontTable" Target="fontTable.xml"/><Relationship Id="rId22" Type="http://schemas.openxmlformats.org/officeDocument/2006/relationships/hyperlink" Target="https://www.doctrine.fr/?q=proc%C3%A9dure%20civile&amp;source=fichekeywordlink" TargetMode="External"/><Relationship Id="rId27" Type="http://schemas.openxmlformats.org/officeDocument/2006/relationships/hyperlink" Target="https://www.doctrine.fr/?q=code&amp;source=fichekeywordlink" TargetMode="External"/><Relationship Id="rId43" Type="http://schemas.openxmlformats.org/officeDocument/2006/relationships/hyperlink" Target="https://www.doctrine.fr/?q=concession&amp;source=fichekeywordlink" TargetMode="External"/><Relationship Id="rId48" Type="http://schemas.openxmlformats.org/officeDocument/2006/relationships/hyperlink" Target="https://www.doctrine.fr/?q=proc%C3%A9dure%20civile&amp;source=fichekeywordlink" TargetMode="External"/><Relationship Id="rId64" Type="http://schemas.openxmlformats.org/officeDocument/2006/relationships/hyperlink" Target="https://www.doctrine.fr/?q=arr%C3%AAt&amp;source=fichekeywordlink" TargetMode="External"/><Relationship Id="rId69" Type="http://schemas.openxmlformats.org/officeDocument/2006/relationships/hyperlink" Target="https://www.doctrine.fr/e/ENT5DDABEF1783A1254C64C?source=decisionPageLink" TargetMode="External"/><Relationship Id="rId113" Type="http://schemas.openxmlformats.org/officeDocument/2006/relationships/hyperlink" Target="https://www.doctrine.fr/?q=ordonnance&amp;source=fichekeywordlink" TargetMode="External"/><Relationship Id="rId118" Type="http://schemas.openxmlformats.org/officeDocument/2006/relationships/hyperlink" Target="https://www.doctrine.fr/?q=pr%C3%A9somption&amp;source=fichekeywordlink" TargetMode="External"/><Relationship Id="rId134" Type="http://schemas.openxmlformats.org/officeDocument/2006/relationships/hyperlink" Target="https://www.doctrine.fr/?q=d%C3%A9cret&amp;source=fichekeywordlink" TargetMode="External"/><Relationship Id="rId139" Type="http://schemas.openxmlformats.org/officeDocument/2006/relationships/hyperlink" Target="https://www.doctrine.fr/?q=propri%C3%A9t%C3%A9&amp;source=fichekeywordlink" TargetMode="External"/><Relationship Id="rId80" Type="http://schemas.openxmlformats.org/officeDocument/2006/relationships/hyperlink" Target="https://www.doctrine.fr/?q=abandon&amp;source=fichekeywordlink" TargetMode="External"/><Relationship Id="rId85" Type="http://schemas.openxmlformats.org/officeDocument/2006/relationships/hyperlink" Target="https://www.doctrine.fr/?q=%C3%A9tat&amp;source=fichekeywordlink" TargetMode="External"/><Relationship Id="rId150" Type="http://schemas.openxmlformats.org/officeDocument/2006/relationships/hyperlink" Target="https://www.doctrine.fr/?q=immeuble&amp;source=fichekeywordlink" TargetMode="External"/><Relationship Id="rId155" Type="http://schemas.openxmlformats.org/officeDocument/2006/relationships/hyperlink" Target="https://www.doctrine.fr/?q=charge&amp;source=fichekeywordlink" TargetMode="External"/><Relationship Id="rId171" Type="http://schemas.openxmlformats.org/officeDocument/2006/relationships/hyperlink" Target="https://www.doctrine.fr/?q=charge&amp;source=fichekeywordlink" TargetMode="External"/><Relationship Id="rId176" Type="http://schemas.openxmlformats.org/officeDocument/2006/relationships/hyperlink" Target="https://www.doctrine.fr/e/ENT5DDABEF1783A1254C64C?source=decisionPageLink" TargetMode="External"/><Relationship Id="rId192" Type="http://schemas.openxmlformats.org/officeDocument/2006/relationships/hyperlink" Target="https://www.doctrine.fr/?q=instance&amp;source=fichekeywordlink" TargetMode="External"/><Relationship Id="rId197" Type="http://schemas.openxmlformats.org/officeDocument/2006/relationships/hyperlink" Target="https://www.doctrine.fr/?q=astreinte&amp;source=fichekeywordlink" TargetMode="External"/><Relationship Id="rId206" Type="http://schemas.openxmlformats.org/officeDocument/2006/relationships/hyperlink" Target="https://www.doctrine.fr/?q=instance&amp;source=fichekeywordlink" TargetMode="External"/><Relationship Id="rId201" Type="http://schemas.openxmlformats.org/officeDocument/2006/relationships/hyperlink" Target="https://www.doctrine.fr/e/ENT62B3DBB7B1D12B53A919?source=decisionPageLink" TargetMode="External"/><Relationship Id="rId12" Type="http://schemas.openxmlformats.org/officeDocument/2006/relationships/hyperlink" Target="https://www.doctrine.fr/?q=barreau&amp;source=fichekeywordlink" TargetMode="External"/><Relationship Id="rId17" Type="http://schemas.openxmlformats.org/officeDocument/2006/relationships/hyperlink" Target="https://www.doctrine.fr/?q=chambre&amp;source=fichekeywordlink" TargetMode="External"/><Relationship Id="rId33" Type="http://schemas.openxmlformats.org/officeDocument/2006/relationships/hyperlink" Target="https://www.doctrine.fr/?q=commune&amp;source=fichekeywordlink" TargetMode="External"/><Relationship Id="rId38" Type="http://schemas.openxmlformats.org/officeDocument/2006/relationships/hyperlink" Target="https://www.doctrine.fr/e/ENT62B3DBB7B1D12B53A919?source=decisionPageLink" TargetMode="External"/><Relationship Id="rId59" Type="http://schemas.openxmlformats.org/officeDocument/2006/relationships/hyperlink" Target="https://www.doctrine.fr/?q=d%C3%A9cret&amp;source=fichekeywordlink" TargetMode="External"/><Relationship Id="rId103" Type="http://schemas.openxmlformats.org/officeDocument/2006/relationships/hyperlink" Target="https://www.doctrine.fr/?q=rejet&amp;source=fichekeywordlink" TargetMode="External"/><Relationship Id="rId108" Type="http://schemas.openxmlformats.org/officeDocument/2006/relationships/hyperlink" Target="https://www.doctrine.fr/?q=cl%C3%B4ture&amp;source=fichekeywordlink" TargetMode="External"/><Relationship Id="rId124" Type="http://schemas.openxmlformats.org/officeDocument/2006/relationships/hyperlink" Target="https://www.doctrine.fr/?q=d%C3%A9rogatoire&amp;source=fichekeywordlink" TargetMode="External"/><Relationship Id="rId129" Type="http://schemas.openxmlformats.org/officeDocument/2006/relationships/hyperlink" Target="https://www.doctrine.fr/?q=concession&amp;source=fichekeywordlink" TargetMode="External"/><Relationship Id="rId54" Type="http://schemas.openxmlformats.org/officeDocument/2006/relationships/hyperlink" Target="https://www.doctrine.fr/?q=visa&amp;source=fichekeywordlink" TargetMode="External"/><Relationship Id="rId70" Type="http://schemas.openxmlformats.org/officeDocument/2006/relationships/hyperlink" Target="https://www.doctrine.fr/?q=preuve&amp;source=fichekeywordlink" TargetMode="External"/><Relationship Id="rId75" Type="http://schemas.openxmlformats.org/officeDocument/2006/relationships/hyperlink" Target="https://www.doctrine.fr/?q=directoire&amp;source=fichekeywordlink" TargetMode="External"/><Relationship Id="rId91" Type="http://schemas.openxmlformats.org/officeDocument/2006/relationships/hyperlink" Target="https://www.doctrine.fr/?q=proc%C3%A9dure%20civile&amp;source=fichekeywordlink" TargetMode="External"/><Relationship Id="rId96" Type="http://schemas.openxmlformats.org/officeDocument/2006/relationships/hyperlink" Target="https://www.doctrine.fr/?q=conclusions&amp;source=fichekeywordlink" TargetMode="External"/><Relationship Id="rId140" Type="http://schemas.openxmlformats.org/officeDocument/2006/relationships/hyperlink" Target="https://www.doctrine.fr/?q=exception&amp;source=fichekeywordlink" TargetMode="External"/><Relationship Id="rId145" Type="http://schemas.openxmlformats.org/officeDocument/2006/relationships/hyperlink" Target="https://www.doctrine.fr/?q=concession&amp;source=fichekeywordlink" TargetMode="External"/><Relationship Id="rId161" Type="http://schemas.openxmlformats.org/officeDocument/2006/relationships/hyperlink" Target="https://www.doctrine.fr/e/ENT5DDABEF1783A1254C64C?source=decisionPageLink" TargetMode="External"/><Relationship Id="rId166" Type="http://schemas.openxmlformats.org/officeDocument/2006/relationships/hyperlink" Target="https://www.doctrine.fr/?q=commune&amp;source=fichekeywordlink" TargetMode="External"/><Relationship Id="rId182" Type="http://schemas.openxmlformats.org/officeDocument/2006/relationships/hyperlink" Target="https://www.doctrine.fr/?q=titre&amp;source=fichekeywordlink" TargetMode="External"/><Relationship Id="rId187" Type="http://schemas.openxmlformats.org/officeDocument/2006/relationships/hyperlink" Target="https://www.doctrine.fr/?q=d%C3%A9pens&amp;source=fichekeywordlin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octrine.fr/?q=barreau&amp;source=fichekeywordlink" TargetMode="External"/><Relationship Id="rId212" Type="http://schemas.openxmlformats.org/officeDocument/2006/relationships/theme" Target="theme/theme1.xml"/><Relationship Id="rId23" Type="http://schemas.openxmlformats.org/officeDocument/2006/relationships/hyperlink" Target="https://www.doctrine.fr/?q=d%C3%A9bats&amp;source=fichekeywordlink" TargetMode="External"/><Relationship Id="rId28" Type="http://schemas.openxmlformats.org/officeDocument/2006/relationships/hyperlink" Target="https://www.doctrine.fr/?q=proc%C3%A9dure%20civile&amp;source=fichekeywordlink" TargetMode="External"/><Relationship Id="rId49" Type="http://schemas.openxmlformats.org/officeDocument/2006/relationships/hyperlink" Target="https://www.doctrine.fr/?q=d%C3%A9pens&amp;source=fichekeywordlink" TargetMode="External"/><Relationship Id="rId114" Type="http://schemas.openxmlformats.org/officeDocument/2006/relationships/hyperlink" Target="https://www.doctrine.fr/?q=cl%C3%B4ture&amp;source=fichekeywordlink" TargetMode="External"/><Relationship Id="rId119" Type="http://schemas.openxmlformats.org/officeDocument/2006/relationships/hyperlink" Target="https://www.doctrine.fr/?q=constat&amp;source=fichekeywordlink" TargetMode="External"/><Relationship Id="rId44" Type="http://schemas.openxmlformats.org/officeDocument/2006/relationships/hyperlink" Target="https://www.doctrine.fr/?q=instance&amp;source=fichekeywordlink" TargetMode="External"/><Relationship Id="rId60" Type="http://schemas.openxmlformats.org/officeDocument/2006/relationships/hyperlink" Target="https://www.doctrine.fr/?q=concession&amp;source=fichekeywordlink" TargetMode="External"/><Relationship Id="rId65" Type="http://schemas.openxmlformats.org/officeDocument/2006/relationships/hyperlink" Target="https://www.doctrine.fr/?q=d%C3%A9lai&amp;source=fichekeywordlink" TargetMode="External"/><Relationship Id="rId81" Type="http://schemas.openxmlformats.org/officeDocument/2006/relationships/hyperlink" Target="https://www.doctrine.fr/?q=unilat%C3%A9ral&amp;source=fichekeywordlink" TargetMode="External"/><Relationship Id="rId86" Type="http://schemas.openxmlformats.org/officeDocument/2006/relationships/hyperlink" Target="https://www.doctrine.fr/?q=cause&amp;source=fichekeywordlink" TargetMode="External"/><Relationship Id="rId130" Type="http://schemas.openxmlformats.org/officeDocument/2006/relationships/hyperlink" Target="https://www.doctrine.fr/?q=pr%C3%A9somption&amp;source=fichekeywordlink" TargetMode="External"/><Relationship Id="rId135" Type="http://schemas.openxmlformats.org/officeDocument/2006/relationships/hyperlink" Target="https://www.doctrine.fr/?q=loi&amp;source=fichekeywordlink" TargetMode="External"/><Relationship Id="rId151" Type="http://schemas.openxmlformats.org/officeDocument/2006/relationships/hyperlink" Target="https://www.doctrine.fr/?q=redevance&amp;source=fichekeywordlink" TargetMode="External"/><Relationship Id="rId156" Type="http://schemas.openxmlformats.org/officeDocument/2006/relationships/hyperlink" Target="https://www.doctrine.fr/?q=preuve&amp;source=fichekeywordlink" TargetMode="External"/><Relationship Id="rId177" Type="http://schemas.openxmlformats.org/officeDocument/2006/relationships/hyperlink" Target="https://www.doctrine.fr/?q=dispositif&amp;source=fichekeywordlink" TargetMode="External"/><Relationship Id="rId198" Type="http://schemas.openxmlformats.org/officeDocument/2006/relationships/hyperlink" Target="https://www.doctrine.fr/?q=provisoire&amp;source=fichekeywordlink" TargetMode="External"/><Relationship Id="rId172" Type="http://schemas.openxmlformats.org/officeDocument/2006/relationships/hyperlink" Target="https://www.doctrine.fr/?q=immeuble&amp;source=fichekeywordlink" TargetMode="External"/><Relationship Id="rId193" Type="http://schemas.openxmlformats.org/officeDocument/2006/relationships/hyperlink" Target="https://www.doctrine.fr/e/ENT5DDABEF1783A1254C64C?source=decisionPageLink" TargetMode="External"/><Relationship Id="rId202" Type="http://schemas.openxmlformats.org/officeDocument/2006/relationships/hyperlink" Target="https://www.doctrine.fr/l/LEGIARTI000028424729?source=legilink&amp;origin=CCAA08CD520EF58C37B33" TargetMode="External"/><Relationship Id="rId207" Type="http://schemas.openxmlformats.org/officeDocument/2006/relationships/hyperlink" Target="https://www.doctrine.fr/?q=appel&amp;source=fichekeywordlink" TargetMode="External"/><Relationship Id="rId13" Type="http://schemas.openxmlformats.org/officeDocument/2006/relationships/hyperlink" Target="https://www.doctrine.fr/?q=audience&amp;source=fichekeywordlink" TargetMode="External"/><Relationship Id="rId18" Type="http://schemas.openxmlformats.org/officeDocument/2006/relationships/hyperlink" Target="https://www.doctrine.fr/?q=d%C3%A9lib%C3%A9r%C3%A9&amp;source=fichekeywordlink" TargetMode="External"/><Relationship Id="rId39" Type="http://schemas.openxmlformats.org/officeDocument/2006/relationships/hyperlink" Target="https://www.doctrine.fr/?q=partie&amp;source=fichekeywordlink" TargetMode="External"/><Relationship Id="rId109" Type="http://schemas.openxmlformats.org/officeDocument/2006/relationships/hyperlink" Target="https://www.doctrine.fr/?q=audience&amp;source=fichekeywordlink" TargetMode="External"/><Relationship Id="rId34" Type="http://schemas.openxmlformats.org/officeDocument/2006/relationships/hyperlink" Target="https://www.doctrine.fr/?q=distribution&amp;source=fichekeywordlink" TargetMode="External"/><Relationship Id="rId50" Type="http://schemas.openxmlformats.org/officeDocument/2006/relationships/hyperlink" Target="https://www.doctrine.fr/?q=soci%C3%A9t%C3%A9%20anonyme&amp;source=fichekeywordlink" TargetMode="External"/><Relationship Id="rId55" Type="http://schemas.openxmlformats.org/officeDocument/2006/relationships/hyperlink" Target="https://www.doctrine.fr/l/LEGIARTI000023986516?source=legilink&amp;origin=CCAA08CD520EF58C37B33" TargetMode="External"/><Relationship Id="rId76" Type="http://schemas.openxmlformats.org/officeDocument/2006/relationships/hyperlink" Target="https://www.doctrine.fr/?q=abandon&amp;source=fichekeywordlink" TargetMode="External"/><Relationship Id="rId97" Type="http://schemas.openxmlformats.org/officeDocument/2006/relationships/hyperlink" Target="https://www.doctrine.fr/e/ENT5DDABEF1783A1254C64C?source=decisionPageLink" TargetMode="External"/><Relationship Id="rId104" Type="http://schemas.openxmlformats.org/officeDocument/2006/relationships/hyperlink" Target="https://www.doctrine.fr/?q=paiement&amp;source=fichekeywordlink" TargetMode="External"/><Relationship Id="rId120" Type="http://schemas.openxmlformats.org/officeDocument/2006/relationships/hyperlink" Target="https://www.doctrine.fr/?q=huissier&amp;source=fichekeywordlink" TargetMode="External"/><Relationship Id="rId125" Type="http://schemas.openxmlformats.org/officeDocument/2006/relationships/hyperlink" Target="https://www.doctrine.fr/e/ENT5DDABEF1783A1254C64C?source=decisionPageLink" TargetMode="External"/><Relationship Id="rId141" Type="http://schemas.openxmlformats.org/officeDocument/2006/relationships/hyperlink" Target="https://www.doctrine.fr/?q=immeuble&amp;source=fichekeywordlink" TargetMode="External"/><Relationship Id="rId146" Type="http://schemas.openxmlformats.org/officeDocument/2006/relationships/hyperlink" Target="https://www.doctrine.fr/?q=propri%C3%A9t%C3%A9&amp;source=fichekeywordlink" TargetMode="External"/><Relationship Id="rId167" Type="http://schemas.openxmlformats.org/officeDocument/2006/relationships/hyperlink" Target="https://www.doctrine.fr/?q=distribution&amp;source=fichekeywordlink" TargetMode="External"/><Relationship Id="rId188" Type="http://schemas.openxmlformats.org/officeDocument/2006/relationships/hyperlink" Target="https://www.doctrine.fr/?q=instance&amp;source=fichekeywordlink" TargetMode="External"/><Relationship Id="rId7" Type="http://schemas.openxmlformats.org/officeDocument/2006/relationships/hyperlink" Target="https://www.doctrine.fr/?q=audience&amp;source=fichekeywordlink" TargetMode="External"/><Relationship Id="rId71" Type="http://schemas.openxmlformats.org/officeDocument/2006/relationships/hyperlink" Target="https://www.doctrine.fr/?q=propri%C3%A9t%C3%A9&amp;source=fichekeywordlink" TargetMode="External"/><Relationship Id="rId92" Type="http://schemas.openxmlformats.org/officeDocument/2006/relationships/hyperlink" Target="https://www.doctrine.fr/?q=d%C3%A9pens&amp;source=fichekeywordlink" TargetMode="External"/><Relationship Id="rId162" Type="http://schemas.openxmlformats.org/officeDocument/2006/relationships/hyperlink" Target="https://www.doctrine.fr/?q=preuve&amp;source=fichekeywordlink" TargetMode="External"/><Relationship Id="rId183" Type="http://schemas.openxmlformats.org/officeDocument/2006/relationships/hyperlink" Target="https://www.doctrine.fr/?q=subsidiaire&amp;source=fichekeywordlin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doctrine.fr/?q=chambre&amp;source=fichekeywordlink" TargetMode="External"/><Relationship Id="rId24" Type="http://schemas.openxmlformats.org/officeDocument/2006/relationships/hyperlink" Target="https://www.doctrine.fr/?q=contradictoire&amp;source=fichekeywordlink" TargetMode="External"/><Relationship Id="rId40" Type="http://schemas.openxmlformats.org/officeDocument/2006/relationships/hyperlink" Target="https://www.doctrine.fr/?q=concession&amp;source=fichekeywordlink" TargetMode="External"/><Relationship Id="rId45" Type="http://schemas.openxmlformats.org/officeDocument/2006/relationships/hyperlink" Target="https://www.doctrine.fr/e/ENT5DDABEF1783A1254C64C?source=decisionPageLink" TargetMode="External"/><Relationship Id="rId66" Type="http://schemas.openxmlformats.org/officeDocument/2006/relationships/hyperlink" Target="https://www.doctrine.fr/?q=astreinte&amp;source=fichekeywordlink" TargetMode="External"/><Relationship Id="rId87" Type="http://schemas.openxmlformats.org/officeDocument/2006/relationships/hyperlink" Target="https://www.doctrine.fr/e/ENT62B3DBB7B1D12B53A919?source=decisionPageLink" TargetMode="External"/><Relationship Id="rId110" Type="http://schemas.openxmlformats.org/officeDocument/2006/relationships/hyperlink" Target="https://www.doctrine.fr/?q=mise%20en%20%C3%A9tat&amp;source=fichekeywordlink" TargetMode="External"/><Relationship Id="rId115" Type="http://schemas.openxmlformats.org/officeDocument/2006/relationships/hyperlink" Target="https://www.doctrine.fr/?q=titre&amp;source=fichekeywordlink" TargetMode="External"/><Relationship Id="rId131" Type="http://schemas.openxmlformats.org/officeDocument/2006/relationships/hyperlink" Target="https://www.doctrine.fr/?q=abandon&amp;source=fichekeywordlink" TargetMode="External"/><Relationship Id="rId136" Type="http://schemas.openxmlformats.org/officeDocument/2006/relationships/hyperlink" Target="https://www.doctrine.fr/?q=publication&amp;source=fichekeywordlink" TargetMode="External"/><Relationship Id="rId157" Type="http://schemas.openxmlformats.org/officeDocument/2006/relationships/hyperlink" Target="https://www.doctrine.fr/?q=concession&amp;source=fichekeywordlink" TargetMode="External"/><Relationship Id="rId178" Type="http://schemas.openxmlformats.org/officeDocument/2006/relationships/hyperlink" Target="https://www.doctrine.fr/l/LEGIARTI000025025719?source=legilink&amp;origin=CCAA08CD520EF58C37B33" TargetMode="External"/><Relationship Id="rId61" Type="http://schemas.openxmlformats.org/officeDocument/2006/relationships/hyperlink" Target="https://www.doctrine.fr/?q=infirmer&amp;source=fichekeywordlink" TargetMode="External"/><Relationship Id="rId82" Type="http://schemas.openxmlformats.org/officeDocument/2006/relationships/hyperlink" Target="https://www.doctrine.fr/?q=contrat%20de%20concession&amp;source=fichekeywordlink" TargetMode="External"/><Relationship Id="rId152" Type="http://schemas.openxmlformats.org/officeDocument/2006/relationships/hyperlink" Target="https://www.doctrine.fr/?q=exception&amp;source=fichekeywordlink" TargetMode="External"/><Relationship Id="rId173" Type="http://schemas.openxmlformats.org/officeDocument/2006/relationships/hyperlink" Target="https://www.doctrine.fr/e/ENT5DDABEF1783A1254C64C?source=decisionPageLink" TargetMode="External"/><Relationship Id="rId194" Type="http://schemas.openxmlformats.org/officeDocument/2006/relationships/hyperlink" Target="https://www.doctrine.fr/?q=signification&amp;source=fichekeywordlink" TargetMode="External"/><Relationship Id="rId199" Type="http://schemas.openxmlformats.org/officeDocument/2006/relationships/hyperlink" Target="https://www.doctrine.fr/e/ENT5DDABEF1783A1254C64C?source=decisionPageLink" TargetMode="External"/><Relationship Id="rId203" Type="http://schemas.openxmlformats.org/officeDocument/2006/relationships/hyperlink" Target="https://www.doctrine.fr/?q=code&amp;source=fichekeywordlink" TargetMode="External"/><Relationship Id="rId208" Type="http://schemas.openxmlformats.org/officeDocument/2006/relationships/hyperlink" Target="https://www.doctrine.fr/l/LEGIARTI000025820558?source=legilink&amp;origin=CCAA08CD520EF58C37B33" TargetMode="External"/><Relationship Id="rId19" Type="http://schemas.openxmlformats.org/officeDocument/2006/relationships/hyperlink" Target="https://www.doctrine.fr/?q=audience&amp;source=fichekeywordlink" TargetMode="External"/><Relationship Id="rId14" Type="http://schemas.openxmlformats.org/officeDocument/2006/relationships/hyperlink" Target="https://www.doctrine.fr/p/avocat/LFDEDB00294D023498D2E?source=decisionPageLink" TargetMode="External"/><Relationship Id="rId30" Type="http://schemas.openxmlformats.org/officeDocument/2006/relationships/hyperlink" Target="https://www.doctrine.fr/?q=signature&amp;source=fichekeywordlink" TargetMode="External"/><Relationship Id="rId35" Type="http://schemas.openxmlformats.org/officeDocument/2006/relationships/hyperlink" Target="https://www.doctrine.fr/?q=distribution&amp;source=fichekeywordlink" TargetMode="External"/><Relationship Id="rId56" Type="http://schemas.openxmlformats.org/officeDocument/2006/relationships/hyperlink" Target="https://www.doctrine.fr/l/LEGIARTI000031063261?source=legilink&amp;origin=CCAA08CD520EF58C37B33" TargetMode="External"/><Relationship Id="rId77" Type="http://schemas.openxmlformats.org/officeDocument/2006/relationships/hyperlink" Target="https://www.doctrine.fr/e/ENT5DDABEF1783A1254C64C?source=decisionPageLink" TargetMode="External"/><Relationship Id="rId100" Type="http://schemas.openxmlformats.org/officeDocument/2006/relationships/hyperlink" Target="https://www.doctrine.fr/?q=abandon&amp;source=fichekeywordlink" TargetMode="External"/><Relationship Id="rId105" Type="http://schemas.openxmlformats.org/officeDocument/2006/relationships/hyperlink" Target="https://www.doctrine.fr/?q=d%C3%A9pens&amp;source=fichekeywordlink" TargetMode="External"/><Relationship Id="rId126" Type="http://schemas.openxmlformats.org/officeDocument/2006/relationships/hyperlink" Target="https://www.doctrine.fr/?q=immeuble&amp;source=fichekeywordlink" TargetMode="External"/><Relationship Id="rId147" Type="http://schemas.openxmlformats.org/officeDocument/2006/relationships/hyperlink" Target="https://www.doctrine.fr/?q=pouvoir&amp;source=fichekeywordlink" TargetMode="External"/><Relationship Id="rId168" Type="http://schemas.openxmlformats.org/officeDocument/2006/relationships/hyperlink" Target="https://www.doctrine.fr/?q=partie&amp;source=fichekeywordlink" TargetMode="External"/><Relationship Id="rId8" Type="http://schemas.openxmlformats.org/officeDocument/2006/relationships/hyperlink" Target="https://www.doctrine.fr/?q=barreau&amp;source=fichekeywordlink" TargetMode="External"/><Relationship Id="rId51" Type="http://schemas.openxmlformats.org/officeDocument/2006/relationships/hyperlink" Target="https://www.doctrine.fr/e/ENT62B3DBB7B1D12B53A919?source=decisionPageLink" TargetMode="External"/><Relationship Id="rId72" Type="http://schemas.openxmlformats.org/officeDocument/2006/relationships/hyperlink" Target="https://www.doctrine.fr/?q=titre&amp;source=fichekeywordlink" TargetMode="External"/><Relationship Id="rId93" Type="http://schemas.openxmlformats.org/officeDocument/2006/relationships/hyperlink" Target="https://www.doctrine.fr/l/LEGIARTI000025820558?source=legilink&amp;origin=CCAA08CD520EF58C37B33" TargetMode="External"/><Relationship Id="rId98" Type="http://schemas.openxmlformats.org/officeDocument/2006/relationships/hyperlink" Target="https://www.doctrine.fr/?q=irrecevabilit%C3%A9&amp;source=fichekeywordlink" TargetMode="External"/><Relationship Id="rId121" Type="http://schemas.openxmlformats.org/officeDocument/2006/relationships/hyperlink" Target="https://www.doctrine.fr/?q=pr%C3%A9somption&amp;source=fichekeywordlink" TargetMode="External"/><Relationship Id="rId142" Type="http://schemas.openxmlformats.org/officeDocument/2006/relationships/hyperlink" Target="https://www.doctrine.fr/?q=redevance&amp;source=fichekeywordlink" TargetMode="External"/><Relationship Id="rId163" Type="http://schemas.openxmlformats.org/officeDocument/2006/relationships/hyperlink" Target="https://www.doctrine.fr/?q=contrat%20de%20concession&amp;source=fichekeywordlink" TargetMode="External"/><Relationship Id="rId184" Type="http://schemas.openxmlformats.org/officeDocument/2006/relationships/hyperlink" Target="https://www.doctrine.fr/?q=recevabilit%C3%A9&amp;source=fichekeywordlink" TargetMode="External"/><Relationship Id="rId189" Type="http://schemas.openxmlformats.org/officeDocument/2006/relationships/hyperlink" Target="https://www.doctrine.fr/?q=appel&amp;source=fichekeywordlink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doctrine.fr/?q=arr%C3%AAt&amp;source=fichekeywordlink" TargetMode="External"/><Relationship Id="rId46" Type="http://schemas.openxmlformats.org/officeDocument/2006/relationships/hyperlink" Target="https://www.doctrine.fr/l/LEGIARTI000028424729?source=legilink&amp;origin=CCAA08CD520EF58C37B33" TargetMode="External"/><Relationship Id="rId67" Type="http://schemas.openxmlformats.org/officeDocument/2006/relationships/hyperlink" Target="https://www.doctrine.fr/?q=titre&amp;source=fichekeywordlink" TargetMode="External"/><Relationship Id="rId116" Type="http://schemas.openxmlformats.org/officeDocument/2006/relationships/hyperlink" Target="https://www.doctrine.fr/?q=principal&amp;source=fichekeywordlink" TargetMode="External"/><Relationship Id="rId137" Type="http://schemas.openxmlformats.org/officeDocument/2006/relationships/hyperlink" Target="https://www.doctrine.fr/?q=d%C3%A9cret&amp;source=fichekeywordlink" TargetMode="External"/><Relationship Id="rId158" Type="http://schemas.openxmlformats.org/officeDocument/2006/relationships/hyperlink" Target="https://www.doctrine.fr/?q=distribution&amp;source=fichekeywordlink" TargetMode="External"/><Relationship Id="rId20" Type="http://schemas.openxmlformats.org/officeDocument/2006/relationships/hyperlink" Target="https://www.doctrine.fr/l/LEGIARTI000006411259?source=legilink&amp;origin=CCAA08CD520EF58C37B33" TargetMode="External"/><Relationship Id="rId41" Type="http://schemas.openxmlformats.org/officeDocument/2006/relationships/hyperlink" Target="https://www.doctrine.fr/?q=copropri%C3%A9t%C3%A9&amp;source=fichekeywordlink" TargetMode="External"/><Relationship Id="rId62" Type="http://schemas.openxmlformats.org/officeDocument/2006/relationships/hyperlink" Target="https://www.doctrine.fr/e/ENT5DDABEF1783A1254C64C?source=decisionPageLink" TargetMode="External"/><Relationship Id="rId83" Type="http://schemas.openxmlformats.org/officeDocument/2006/relationships/hyperlink" Target="https://www.doctrine.fr/?q=condition&amp;source=fichekeywordlink" TargetMode="External"/><Relationship Id="rId88" Type="http://schemas.openxmlformats.org/officeDocument/2006/relationships/hyperlink" Target="https://www.doctrine.fr/?q=allocation&amp;source=fichekeywordlink" TargetMode="External"/><Relationship Id="rId111" Type="http://schemas.openxmlformats.org/officeDocument/2006/relationships/hyperlink" Target="https://www.doctrine.fr/?q=faute&amp;source=fichekeywordlink" TargetMode="External"/><Relationship Id="rId132" Type="http://schemas.openxmlformats.org/officeDocument/2006/relationships/hyperlink" Target="https://www.doctrine.fr/?q=d%C3%A9cret&amp;source=fichekeywordlink" TargetMode="External"/><Relationship Id="rId153" Type="http://schemas.openxmlformats.org/officeDocument/2006/relationships/hyperlink" Target="https://www.doctrine.fr/?q=propri%C3%A9t%C3%A9&amp;source=fichekeywordlink" TargetMode="External"/><Relationship Id="rId174" Type="http://schemas.openxmlformats.org/officeDocument/2006/relationships/hyperlink" Target="https://www.doctrine.fr/?q=preuve&amp;source=fichekeywordlink" TargetMode="External"/><Relationship Id="rId179" Type="http://schemas.openxmlformats.org/officeDocument/2006/relationships/hyperlink" Target="https://www.doctrine.fr/?q=code&amp;source=fichekeywordlink" TargetMode="External"/><Relationship Id="rId195" Type="http://schemas.openxmlformats.org/officeDocument/2006/relationships/hyperlink" Target="https://www.doctrine.fr/?q=arr%C3%AAt&amp;source=fichekeywordlink" TargetMode="External"/><Relationship Id="rId209" Type="http://schemas.openxmlformats.org/officeDocument/2006/relationships/hyperlink" Target="https://www.doctrine.fr/?q=code&amp;source=fichekeywordlink" TargetMode="External"/><Relationship Id="rId190" Type="http://schemas.openxmlformats.org/officeDocument/2006/relationships/hyperlink" Target="https://www.doctrine.fr/?q=frais%20irr%C3%A9p%C3%A9tibles&amp;source=fichekeywordlink" TargetMode="External"/><Relationship Id="rId204" Type="http://schemas.openxmlformats.org/officeDocument/2006/relationships/hyperlink" Target="https://www.doctrine.fr/?q=proc%C3%A9dure%20civile&amp;source=fichekeywordlink" TargetMode="External"/><Relationship Id="rId15" Type="http://schemas.openxmlformats.org/officeDocument/2006/relationships/hyperlink" Target="https://www.doctrine.fr/?q=barreau&amp;source=fichekeywordlink" TargetMode="External"/><Relationship Id="rId36" Type="http://schemas.openxmlformats.org/officeDocument/2006/relationships/hyperlink" Target="https://www.doctrine.fr/e/ENT5DDABEF1783A1254C64C?source=decisionPageLink" TargetMode="External"/><Relationship Id="rId57" Type="http://schemas.openxmlformats.org/officeDocument/2006/relationships/hyperlink" Target="https://www.doctrine.fr/?q=code&amp;source=fichekeywordlink" TargetMode="External"/><Relationship Id="rId106" Type="http://schemas.openxmlformats.org/officeDocument/2006/relationships/hyperlink" Target="https://www.doctrine.fr/?q=cl%C3%B4ture&amp;source=fichekeywordlink" TargetMode="External"/><Relationship Id="rId127" Type="http://schemas.openxmlformats.org/officeDocument/2006/relationships/hyperlink" Target="https://www.doctrine.fr/?q=propri%C3%A9t%C3%A9&amp;source=fichekeywordlink" TargetMode="External"/><Relationship Id="rId10" Type="http://schemas.openxmlformats.org/officeDocument/2006/relationships/hyperlink" Target="https://www.doctrine.fr/p/avocat/LCED886FF6ABD1A14A3DC?source=decisionPageLink" TargetMode="External"/><Relationship Id="rId31" Type="http://schemas.openxmlformats.org/officeDocument/2006/relationships/hyperlink" Target="https://www.doctrine.fr/l/LEGIARTI000006824992?source=legilink&amp;origin=CCAA08CD520EF58C37B33" TargetMode="External"/><Relationship Id="rId52" Type="http://schemas.openxmlformats.org/officeDocument/2006/relationships/hyperlink" Target="https://www.doctrine.fr/?q=appel&amp;source=fichekeywordlink" TargetMode="External"/><Relationship Id="rId73" Type="http://schemas.openxmlformats.org/officeDocument/2006/relationships/hyperlink" Target="https://www.doctrine.fr/?q=subsidiaire&amp;source=fichekeywordlink" TargetMode="External"/><Relationship Id="rId78" Type="http://schemas.openxmlformats.org/officeDocument/2006/relationships/hyperlink" Target="https://www.doctrine.fr/?q=distribution&amp;source=fichekeywordlink" TargetMode="External"/><Relationship Id="rId94" Type="http://schemas.openxmlformats.org/officeDocument/2006/relationships/hyperlink" Target="https://www.doctrine.fr/?q=code&amp;source=fichekeywordlink" TargetMode="External"/><Relationship Id="rId99" Type="http://schemas.openxmlformats.org/officeDocument/2006/relationships/hyperlink" Target="https://www.doctrine.fr/?q=constat&amp;source=fichekeywordlink" TargetMode="External"/><Relationship Id="rId101" Type="http://schemas.openxmlformats.org/officeDocument/2006/relationships/hyperlink" Target="https://www.doctrine.fr/e/ENT62B3DBB7B1D12B53A919?source=decisionPageLink" TargetMode="External"/><Relationship Id="rId122" Type="http://schemas.openxmlformats.org/officeDocument/2006/relationships/hyperlink" Target="https://www.doctrine.fr/?q=d%C3%A9cret&amp;source=fichekeywordlink" TargetMode="External"/><Relationship Id="rId143" Type="http://schemas.openxmlformats.org/officeDocument/2006/relationships/hyperlink" Target="https://www.doctrine.fr/?q=distribution&amp;source=fichekeywordlink" TargetMode="External"/><Relationship Id="rId148" Type="http://schemas.openxmlformats.org/officeDocument/2006/relationships/hyperlink" Target="https://www.doctrine.fr/?q=int%C3%A9r%C3%AAt&amp;source=fichekeywordlink" TargetMode="External"/><Relationship Id="rId164" Type="http://schemas.openxmlformats.org/officeDocument/2006/relationships/hyperlink" Target="https://www.doctrine.fr/?q=syndicat&amp;source=fichekeywordlink" TargetMode="External"/><Relationship Id="rId169" Type="http://schemas.openxmlformats.org/officeDocument/2006/relationships/hyperlink" Target="https://www.doctrine.fr/?q=immeuble&amp;source=fichekeywordlink" TargetMode="External"/><Relationship Id="rId185" Type="http://schemas.openxmlformats.org/officeDocument/2006/relationships/hyperlink" Target="https://www.doctrine.fr/e/ENT5DDABEF1783A1254C64C?source=decisionPage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ctrine.fr/e/ENT5DDABEF1783A1254C64C?source=decisionPageLink" TargetMode="External"/><Relationship Id="rId180" Type="http://schemas.openxmlformats.org/officeDocument/2006/relationships/hyperlink" Target="https://www.doctrine.fr/?q=astreinte&amp;source=fichekeywordlink" TargetMode="External"/><Relationship Id="rId210" Type="http://schemas.openxmlformats.org/officeDocument/2006/relationships/hyperlink" Target="https://www.doctrine.fr/?q=proc%C3%A9dure%20civile&amp;source=fichekeywordlink" TargetMode="External"/><Relationship Id="rId26" Type="http://schemas.openxmlformats.org/officeDocument/2006/relationships/hyperlink" Target="https://www.doctrine.fr/l/LEGIARTI000006410693?source=legilink&amp;origin=CCAA08CD520EF58C37B33" TargetMode="External"/><Relationship Id="rId47" Type="http://schemas.openxmlformats.org/officeDocument/2006/relationships/hyperlink" Target="https://www.doctrine.fr/?q=code&amp;source=fichekeywordlink" TargetMode="External"/><Relationship Id="rId68" Type="http://schemas.openxmlformats.org/officeDocument/2006/relationships/hyperlink" Target="https://www.doctrine.fr/?q=principal&amp;source=fichekeywordlink" TargetMode="External"/><Relationship Id="rId89" Type="http://schemas.openxmlformats.org/officeDocument/2006/relationships/hyperlink" Target="https://www.doctrine.fr/l/LEGIARTI000028424729?source=legilink&amp;origin=CCAA08CD520EF58C37B33" TargetMode="External"/><Relationship Id="rId112" Type="http://schemas.openxmlformats.org/officeDocument/2006/relationships/hyperlink" Target="https://www.doctrine.fr/?q=r%C3%A9vocation&amp;source=fichekeywordlink" TargetMode="External"/><Relationship Id="rId133" Type="http://schemas.openxmlformats.org/officeDocument/2006/relationships/hyperlink" Target="https://www.doctrine.fr/?q=loi&amp;source=fichekeywordlink" TargetMode="External"/><Relationship Id="rId154" Type="http://schemas.openxmlformats.org/officeDocument/2006/relationships/hyperlink" Target="https://www.doctrine.fr/?q=installation&amp;source=fichekeywordlink" TargetMode="External"/><Relationship Id="rId175" Type="http://schemas.openxmlformats.org/officeDocument/2006/relationships/hyperlink" Target="https://www.doctrine.fr/?q=%C3%A9tat&amp;source=fichekeywordlink" TargetMode="External"/><Relationship Id="rId196" Type="http://schemas.openxmlformats.org/officeDocument/2006/relationships/hyperlink" Target="https://www.doctrine.fr/?q=d%C3%A9lai&amp;source=fichekeywordlink" TargetMode="External"/><Relationship Id="rId200" Type="http://schemas.openxmlformats.org/officeDocument/2006/relationships/hyperlink" Target="https://www.doctrine.fr/?q=soci%C3%A9t%C3%A9%20anonyme&amp;source=fichekeywordlink" TargetMode="External"/><Relationship Id="rId16" Type="http://schemas.openxmlformats.org/officeDocument/2006/relationships/hyperlink" Target="https://www.doctrine.fr/?q=audience&amp;source=fichekeywordlink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4588</Words>
  <Characters>25236</Characters>
  <Application>Microsoft Office Word</Application>
  <DocSecurity>0</DocSecurity>
  <Lines>210</Lines>
  <Paragraphs>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DE REGULATION DE L'ENERGIE</Company>
  <LinksUpToDate>false</LinksUpToDate>
  <CharactersWithSpaces>29765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Sablière Pierre</dc:creator>
  <cp:lastModifiedBy>Sablière Pierre</cp:lastModifiedBy>
  <cp:revision>2</cp:revision>
  <dcterms:created xsi:type="dcterms:W3CDTF">2019-02-20T10:36:00Z</dcterms:created>
  <dcterms:modified xsi:type="dcterms:W3CDTF">2019-02-20T12:08:00Z</dcterms:modified>
</cp:coreProperties>
</file>