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2" w:rsidRDefault="00807652"/>
    <w:p w:rsidR="00807652" w:rsidRDefault="00807652"/>
    <w:p w:rsidR="00807652" w:rsidRPr="00043365" w:rsidRDefault="00807652" w:rsidP="00043365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COUR D’APPEL DE PARIS</w:t>
      </w:r>
    </w:p>
    <w:p w:rsidR="00807652" w:rsidRPr="00043365" w:rsidRDefault="00807652" w:rsidP="00043365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Pôle 2 – Chambre 2</w:t>
      </w:r>
    </w:p>
    <w:p w:rsidR="00807652" w:rsidRPr="00043365" w:rsidRDefault="00807652" w:rsidP="00043365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ARRÊT DU 20 DÉCEMBRE 2018</w:t>
      </w:r>
    </w:p>
    <w:p w:rsidR="00043365" w:rsidRPr="00043365" w:rsidRDefault="00043365" w:rsidP="00043365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3365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043365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807652" w:rsidRPr="00043365">
        <w:rPr>
          <w:rFonts w:ascii="Times New Roman" w:hAnsi="Times New Roman" w:cs="Times New Roman"/>
          <w:b/>
          <w:sz w:val="24"/>
          <w:szCs w:val="24"/>
        </w:rPr>
        <w:t>17/16092 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Décision déférée à la Cour : Jugement du 24 Février 2017 -Tribunal de Grande Instance d’EVRY – RG n° 15/03842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043365" w:rsidRDefault="00807652" w:rsidP="00807652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APPELANTE</w:t>
      </w:r>
    </w:p>
    <w:p w:rsid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07652">
          <w:rPr>
            <w:rFonts w:ascii="Times New Roman" w:hAnsi="Times New Roman" w:cs="Times New Roman"/>
            <w:sz w:val="24"/>
            <w:szCs w:val="24"/>
          </w:rPr>
          <w:t>La SA LES RESIDENCES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>, Société anonyme d’habitations à loyer modéré, venant aux droits de l’OPIEVOY, agissant en la personne de son représentant légal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Représentée par Me Olivier HASCOET de la SARL </w:t>
      </w:r>
    </w:p>
    <w:p w:rsidR="00807652" w:rsidRPr="00043365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43365">
        <w:rPr>
          <w:rFonts w:ascii="Times New Roman" w:hAnsi="Times New Roman" w:cs="Times New Roman"/>
          <w:sz w:val="24"/>
          <w:szCs w:val="24"/>
        </w:rPr>
        <w:t xml:space="preserve">HAUSSMANN/KAINIC/HASCOET/HELAIN, avocat au </w:t>
      </w:r>
      <w:hyperlink r:id="rId6" w:history="1">
        <w:r w:rsidRPr="00043365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043365">
        <w:rPr>
          <w:rFonts w:ascii="Times New Roman" w:hAnsi="Times New Roman" w:cs="Times New Roman"/>
          <w:sz w:val="24"/>
          <w:szCs w:val="24"/>
        </w:rPr>
        <w:t xml:space="preserve"> d’ESSONNE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Assistée à l’</w:t>
      </w:r>
      <w:hyperlink r:id="rId7" w:history="1">
        <w:r w:rsidRPr="00807652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Me Léa BOST, avocat au </w:t>
      </w:r>
      <w:hyperlink r:id="rId8" w:history="1">
        <w:r w:rsidRPr="00807652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d’ESSONNE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043365" w:rsidRDefault="00807652" w:rsidP="00807652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INTIMÉE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La société </w:t>
      </w:r>
      <w:hyperlink r:id="rId9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(anciennement dénommée 'ERDF'), prise en la personne de son représentant légal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Représentée par Me </w:t>
      </w:r>
      <w:hyperlink r:id="rId10" w:history="1">
        <w:r w:rsidRPr="00807652">
          <w:rPr>
            <w:rFonts w:ascii="Times New Roman" w:hAnsi="Times New Roman" w:cs="Times New Roman"/>
            <w:sz w:val="24"/>
            <w:szCs w:val="24"/>
          </w:rPr>
          <w:t>François TRECOURT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1" w:history="1">
        <w:r w:rsidRPr="00807652">
          <w:rPr>
            <w:rFonts w:ascii="Times New Roman" w:hAnsi="Times New Roman" w:cs="Times New Roman"/>
            <w:sz w:val="24"/>
            <w:szCs w:val="24"/>
          </w:rPr>
          <w:t>SELASU TRECOURT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avocat au </w:t>
      </w:r>
      <w:hyperlink r:id="rId12" w:history="1">
        <w:r w:rsidRPr="00807652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PARIS, toque : A0510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Assistée à l’</w:t>
      </w:r>
      <w:hyperlink r:id="rId13" w:history="1">
        <w:r w:rsidRPr="00807652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Me </w:t>
      </w:r>
      <w:hyperlink r:id="rId14" w:history="1">
        <w:r w:rsidRPr="00807652">
          <w:rPr>
            <w:rFonts w:ascii="Times New Roman" w:hAnsi="Times New Roman" w:cs="Times New Roman"/>
            <w:sz w:val="24"/>
            <w:szCs w:val="24"/>
          </w:rPr>
          <w:t>Lola CHUNET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avocat au </w:t>
      </w:r>
      <w:hyperlink r:id="rId15" w:history="1">
        <w:r w:rsidRPr="00807652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PARIS, toque : A0510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COMPOSITION DE LA COUR</w:t>
      </w:r>
      <w:r w:rsidRPr="00807652">
        <w:rPr>
          <w:rFonts w:ascii="Times New Roman" w:hAnsi="Times New Roman" w:cs="Times New Roman"/>
          <w:sz w:val="24"/>
          <w:szCs w:val="24"/>
        </w:rPr>
        <w:t> :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L’affaire a été débattue le 22 Novembre 2018, en </w:t>
      </w:r>
      <w:hyperlink r:id="rId16" w:history="1">
        <w:r w:rsidRPr="00807652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publique, devant la cour composée de :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Madame Marie-Hélène POINSEAUX, présidente de </w:t>
      </w:r>
      <w:hyperlink r:id="rId17" w:history="1">
        <w:r w:rsidRPr="00807652">
          <w:rPr>
            <w:rFonts w:ascii="Times New Roman" w:hAnsi="Times New Roman" w:cs="Times New Roman"/>
            <w:sz w:val="24"/>
            <w:szCs w:val="24"/>
          </w:rPr>
          <w:t>chambre</w:t>
        </w:r>
      </w:hyperlink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Madame Patricia LEFEVRE, conseillère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Madame Marie-José BOU, conseillère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qui en ont </w:t>
      </w:r>
      <w:hyperlink r:id="rId18" w:history="1">
        <w:r w:rsidRPr="00807652">
          <w:rPr>
            <w:rFonts w:ascii="Times New Roman" w:hAnsi="Times New Roman" w:cs="Times New Roman"/>
            <w:sz w:val="24"/>
            <w:szCs w:val="24"/>
          </w:rPr>
          <w:t>délibéré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>, un rapport a été présenté à l’</w:t>
      </w:r>
      <w:hyperlink r:id="rId19" w:history="1">
        <w:r w:rsidRPr="00807652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par Madame Patricia LEFEVRE, conseillère dans les conditions prévues par l’article </w:t>
      </w:r>
      <w:hyperlink r:id="rId20" w:history="1">
        <w:r w:rsidRPr="00807652">
          <w:rPr>
            <w:rFonts w:ascii="Times New Roman" w:hAnsi="Times New Roman" w:cs="Times New Roman"/>
            <w:sz w:val="24"/>
            <w:szCs w:val="24"/>
          </w:rPr>
          <w:t>785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1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2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Greffière, lors des </w:t>
      </w:r>
      <w:hyperlink r:id="rId23" w:history="1">
        <w:r w:rsidRPr="00807652">
          <w:rPr>
            <w:rFonts w:ascii="Times New Roman" w:hAnsi="Times New Roman" w:cs="Times New Roman"/>
            <w:sz w:val="24"/>
            <w:szCs w:val="24"/>
          </w:rPr>
          <w:t>débats</w:t>
        </w:r>
      </w:hyperlink>
      <w:r w:rsidRPr="00807652">
        <w:rPr>
          <w:rFonts w:ascii="Times New Roman" w:hAnsi="Times New Roman" w:cs="Times New Roman"/>
          <w:sz w:val="24"/>
          <w:szCs w:val="24"/>
        </w:rPr>
        <w:t> : Madame X-Y Z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043365" w:rsidRDefault="00807652" w:rsidP="00807652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ARRÊT :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— </w:t>
      </w:r>
      <w:hyperlink r:id="rId24" w:history="1">
        <w:r w:rsidRPr="00807652">
          <w:rPr>
            <w:rFonts w:ascii="Times New Roman" w:hAnsi="Times New Roman" w:cs="Times New Roman"/>
            <w:sz w:val="24"/>
            <w:szCs w:val="24"/>
          </w:rPr>
          <w:t>contradictoire</w:t>
        </w:r>
      </w:hyperlink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— par mise à disposition de l’</w:t>
      </w:r>
      <w:hyperlink r:id="rId25" w:history="1">
        <w:r w:rsidRPr="00807652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au greffe de la cour, les parties en ayant été préalablement avisées dans les conditions prévues au deuxième alinéa de l’article </w:t>
      </w:r>
      <w:hyperlink r:id="rId26" w:history="1">
        <w:r w:rsidRPr="00807652">
          <w:rPr>
            <w:rFonts w:ascii="Times New Roman" w:hAnsi="Times New Roman" w:cs="Times New Roman"/>
            <w:sz w:val="24"/>
            <w:szCs w:val="24"/>
          </w:rPr>
          <w:t>450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7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8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— signé par Madame Marie-Hélène POINSEAUX, présidente de </w:t>
      </w:r>
      <w:hyperlink r:id="rId29" w:history="1">
        <w:r w:rsidRPr="00807652">
          <w:rPr>
            <w:rFonts w:ascii="Times New Roman" w:hAnsi="Times New Roman" w:cs="Times New Roman"/>
            <w:sz w:val="24"/>
            <w:szCs w:val="24"/>
          </w:rPr>
          <w:t>chambre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par Madame X-Y Z, greffière présente lors du prononcé.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L’Office public d’aménagement et de construction interdépartemental de l’Essonne, du Val d’Oise et des Yvelines est propriétaire d’un ensemble de logements locatifs, garages et parkings dénommé résidence des </w:t>
      </w:r>
      <w:proofErr w:type="spellStart"/>
      <w:r w:rsidRPr="00807652">
        <w:rPr>
          <w:rFonts w:ascii="Times New Roman" w:hAnsi="Times New Roman" w:cs="Times New Roman"/>
          <w:sz w:val="24"/>
          <w:szCs w:val="24"/>
        </w:rPr>
        <w:t>Tarterêts</w:t>
      </w:r>
      <w:proofErr w:type="spellEnd"/>
      <w:r w:rsidRPr="00807652">
        <w:rPr>
          <w:rFonts w:ascii="Times New Roman" w:hAnsi="Times New Roman" w:cs="Times New Roman"/>
          <w:sz w:val="24"/>
          <w:szCs w:val="24"/>
        </w:rPr>
        <w:t>, et situé notamment rue Racine et rue La Bruyère à Corbeil-Essonnes.</w:t>
      </w:r>
    </w:p>
    <w:p w:rsidR="00043365" w:rsidRPr="00807652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lastRenderedPageBreak/>
        <w:t xml:space="preserve">Ces logements sont, depuis la </w:t>
      </w:r>
      <w:hyperlink r:id="rId30" w:history="1">
        <w:r w:rsidRPr="00807652">
          <w:rPr>
            <w:rFonts w:ascii="Times New Roman" w:hAnsi="Times New Roman" w:cs="Times New Roman"/>
            <w:sz w:val="24"/>
            <w:szCs w:val="24"/>
          </w:rPr>
          <w:t>signature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d’une convention en date du 24 décembre 1987 entre le bailleur social et l’Etat, placés sous le régime des logements locatifs conventionnés prévus aux articles </w:t>
      </w:r>
      <w:hyperlink r:id="rId31" w:history="1">
        <w:r w:rsidRPr="00807652">
          <w:rPr>
            <w:rFonts w:ascii="Times New Roman" w:hAnsi="Times New Roman" w:cs="Times New Roman"/>
            <w:sz w:val="24"/>
            <w:szCs w:val="24"/>
          </w:rPr>
          <w:t>L. 353-1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et suivants du </w:t>
      </w:r>
      <w:hyperlink r:id="rId32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construction et de l’habitat.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Suivant délibération du 9 mai 2007, le conseil municipal de la </w:t>
      </w:r>
      <w:hyperlink r:id="rId33" w:history="1">
        <w:r w:rsidRPr="00807652">
          <w:rPr>
            <w:rFonts w:ascii="Times New Roman" w:hAnsi="Times New Roman" w:cs="Times New Roman"/>
            <w:sz w:val="24"/>
            <w:szCs w:val="24"/>
          </w:rPr>
          <w:t>commune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a transféré ses compétences de </w:t>
      </w:r>
      <w:hyperlink r:id="rId34" w:history="1">
        <w:r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gaz et de l’électricité au Syndicat intercommunal d’assainissement et de restauration des cours d’eau (SIARCE) qui, par convention en date du 28 mars 2008, a confié l’exploitation des réseaux de </w:t>
      </w:r>
      <w:hyperlink r:id="rId35" w:history="1">
        <w:r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à la société ERDF (désormais dénommée </w:t>
      </w:r>
      <w:hyperlink r:id="rId36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>).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Un incendie a endommagé les colonnes montantes des immeubles des […] et 4, 5 et […], et après une </w:t>
      </w:r>
      <w:hyperlink r:id="rId37" w:history="1">
        <w:r w:rsidRPr="00807652">
          <w:rPr>
            <w:rFonts w:ascii="Times New Roman" w:hAnsi="Times New Roman" w:cs="Times New Roman"/>
            <w:sz w:val="24"/>
            <w:szCs w:val="24"/>
          </w:rPr>
          <w:t>intervention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en urgence de la société ERDF pour mettre en sécurité ces ouvrages, l’office public a, par courrier du 20 octobre 2014, invité cette société à procéder aux travaux de renouvellement des colonnes montantes de </w:t>
      </w:r>
      <w:hyperlink r:id="rId38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807652">
        <w:rPr>
          <w:rFonts w:ascii="Times New Roman" w:hAnsi="Times New Roman" w:cs="Times New Roman"/>
          <w:sz w:val="24"/>
          <w:szCs w:val="24"/>
        </w:rPr>
        <w:t>Tarterêts</w:t>
      </w:r>
      <w:proofErr w:type="spellEnd"/>
      <w:r w:rsidRPr="00807652">
        <w:rPr>
          <w:rFonts w:ascii="Times New Roman" w:hAnsi="Times New Roman" w:cs="Times New Roman"/>
          <w:sz w:val="24"/>
          <w:szCs w:val="24"/>
        </w:rPr>
        <w:t xml:space="preserve"> au 13 et […] et au 6 et […].</w:t>
      </w:r>
    </w:p>
    <w:p w:rsidR="00043365" w:rsidRPr="00807652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La société ERDF a refusé de procéder à ces travaux, faisant valoir que les colonnes montantes en question ne faisaient pas </w:t>
      </w:r>
      <w:hyperlink r:id="rId39" w:history="1">
        <w:r w:rsidRPr="00807652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ouvrages en </w:t>
      </w:r>
      <w:hyperlink r:id="rId40" w:history="1">
        <w:r w:rsidRPr="00807652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mais appartenaient à la </w:t>
      </w:r>
      <w:hyperlink r:id="rId41" w:history="1">
        <w:r w:rsidRPr="00807652">
          <w:rPr>
            <w:rFonts w:ascii="Times New Roman" w:hAnsi="Times New Roman" w:cs="Times New Roman"/>
            <w:sz w:val="24"/>
            <w:szCs w:val="24"/>
          </w:rPr>
          <w:t>copropriété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que dès lors, tous travaux sur les colonnes électriques ainsi que leur entretien sont à la </w:t>
      </w:r>
      <w:hyperlink r:id="rId42" w:history="1">
        <w:r w:rsidRPr="00807652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sous la responsabilité de leur propriétaire, ce, conformément au cahier des charges de </w:t>
      </w:r>
      <w:hyperlink r:id="rId43" w:history="1">
        <w:r w:rsidRPr="00807652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C’est dans ce contexte que, par acte extra-judiciaire en date du 17 avril 2015, l’office public a fait assigner la société ERDF devant le tribunal de grande </w:t>
      </w:r>
      <w:hyperlink r:id="rId44" w:history="1">
        <w:r w:rsidRPr="00807652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d’Evry afin d’obtenir que la société gestionnaire du réseau soit condamnée à procéder aux travaux de remise en état des colonnes montantes des immeubles situés […] et 4, 5 et […].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Par jugement en date du 24 février 2017, le tribunal a débouté l’office public de ses demandes, le condamnant à payer à la société </w:t>
      </w:r>
      <w:hyperlink r:id="rId45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(anciennement dénommée ERDF) la somme de 2 000 euros en application de l’article </w:t>
      </w:r>
      <w:hyperlink r:id="rId46" w:history="1">
        <w:r w:rsidRPr="00807652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47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48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aux </w:t>
      </w:r>
      <w:hyperlink r:id="rId49" w:history="1">
        <w:r w:rsidRPr="00807652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>, rejetant toute autre demande plus ample ou contraire.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La </w:t>
      </w:r>
      <w:hyperlink r:id="rId50" w:history="1">
        <w:r w:rsidRPr="00807652">
          <w:rPr>
            <w:rFonts w:ascii="Times New Roman" w:hAnsi="Times New Roman" w:cs="Times New Roman"/>
            <w:sz w:val="24"/>
            <w:szCs w:val="24"/>
          </w:rPr>
          <w:t>société anonyme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d’habitations à loyer modéré </w:t>
      </w:r>
      <w:hyperlink r:id="rId51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(disant venir aux droits de l’Office public d’aménagement et de construction interdépartemental de l’Essonne, du Val d’Oise et des Yvelines) a relevé </w:t>
      </w:r>
      <w:hyperlink r:id="rId52" w:history="1">
        <w:r w:rsidRPr="00807652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le 7 août 2017 et aux termes de ses dernières </w:t>
      </w:r>
      <w:hyperlink r:id="rId53" w:history="1">
        <w:r w:rsidRPr="00807652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notifiées par voie électronique le 21 février 2018, elle demande à la cour, au </w:t>
      </w:r>
      <w:hyperlink r:id="rId54" w:history="1">
        <w:r w:rsidRPr="00807652">
          <w:rPr>
            <w:rFonts w:ascii="Times New Roman" w:hAnsi="Times New Roman" w:cs="Times New Roman"/>
            <w:sz w:val="24"/>
            <w:szCs w:val="24"/>
          </w:rPr>
          <w:t>visa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articles </w:t>
      </w:r>
      <w:hyperlink r:id="rId55" w:history="1">
        <w:r w:rsidRPr="00807652">
          <w:rPr>
            <w:rFonts w:ascii="Times New Roman" w:hAnsi="Times New Roman" w:cs="Times New Roman"/>
            <w:sz w:val="24"/>
            <w:szCs w:val="24"/>
          </w:rPr>
          <w:t>L. 322-9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et </w:t>
      </w:r>
      <w:hyperlink r:id="rId56" w:history="1">
        <w:r w:rsidRPr="00807652">
          <w:rPr>
            <w:rFonts w:ascii="Times New Roman" w:hAnsi="Times New Roman" w:cs="Times New Roman"/>
            <w:sz w:val="24"/>
            <w:szCs w:val="24"/>
          </w:rPr>
          <w:t>L. 341-2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57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l’énergie, du </w:t>
      </w:r>
      <w:hyperlink r:id="rId58" w:history="1">
        <w:r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n°46-2503 du 8 novembre 1946, du </w:t>
      </w:r>
      <w:hyperlink r:id="rId59" w:history="1">
        <w:r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n°55-326 du 29 mars 1955, des recommandations du médiateur national de l’énergie des 10 juillet 2014 et 12 janvier 2018 et de l’article 15 de la convention de </w:t>
      </w:r>
      <w:hyperlink r:id="rId60" w:history="1">
        <w:r w:rsidRPr="00807652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>, d’</w:t>
      </w:r>
      <w:hyperlink r:id="rId61" w:history="1">
        <w:r w:rsidRPr="00807652">
          <w:rPr>
            <w:rFonts w:ascii="Times New Roman" w:hAnsi="Times New Roman" w:cs="Times New Roman"/>
            <w:sz w:val="24"/>
            <w:szCs w:val="24"/>
          </w:rPr>
          <w:t>infirmer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le jugement entrepris en toutes ses dispositions et statuant à nouveau, de condamner la société </w:t>
      </w:r>
      <w:hyperlink r:id="rId62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à procéder aux travaux de remise en état des colonnes montantes des immeubles situés à Corbeil-Essonnes, […] et 4, 5 et […], dans un </w:t>
      </w:r>
      <w:hyperlink r:id="rId63" w:history="1">
        <w:r w:rsidRPr="00807652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 mois à compter de l’</w:t>
      </w:r>
      <w:hyperlink r:id="rId64" w:history="1">
        <w:r w:rsidRPr="00807652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à intervenir, et passé ce </w:t>
      </w:r>
      <w:hyperlink r:id="rId65" w:history="1">
        <w:r w:rsidRPr="00807652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sous </w:t>
      </w:r>
      <w:hyperlink r:id="rId66" w:history="1">
        <w:r w:rsidRPr="00807652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définitive de 1 000 euros par jour de retard jusqu’à parfaite réalisation des travaux, et ce, à </w:t>
      </w:r>
      <w:hyperlink r:id="rId67" w:history="1">
        <w:r w:rsidRPr="00807652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807652">
          <w:rPr>
            <w:rFonts w:ascii="Times New Roman" w:hAnsi="Times New Roman" w:cs="Times New Roman"/>
            <w:sz w:val="24"/>
            <w:szCs w:val="24"/>
          </w:rPr>
          <w:t>principal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après avoir jugé que la société </w:t>
      </w:r>
      <w:hyperlink r:id="rId69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doit assurer la maintenance et le renouvellement de ces ouvrages dont elle ne rapporte pas la </w:t>
      </w:r>
      <w:hyperlink r:id="rId70" w:history="1">
        <w:r w:rsidRPr="00807652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qu’ils sont restés sa </w:t>
      </w:r>
      <w:hyperlink r:id="rId71" w:history="1">
        <w:r w:rsidRPr="00807652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à </w:t>
      </w:r>
      <w:hyperlink r:id="rId72" w:history="1">
        <w:r w:rsidRPr="00807652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807652">
          <w:rPr>
            <w:rFonts w:ascii="Times New Roman" w:hAnsi="Times New Roman" w:cs="Times New Roman"/>
            <w:sz w:val="24"/>
            <w:szCs w:val="24"/>
          </w:rPr>
          <w:t>subsidiaire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au </w:t>
      </w:r>
      <w:hyperlink r:id="rId74" w:history="1">
        <w:r w:rsidRPr="00807652">
          <w:rPr>
            <w:rFonts w:ascii="Times New Roman" w:hAnsi="Times New Roman" w:cs="Times New Roman"/>
            <w:sz w:val="24"/>
            <w:szCs w:val="24"/>
          </w:rPr>
          <w:t>constat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d’une délibération de son </w:t>
      </w:r>
      <w:hyperlink r:id="rId75" w:history="1">
        <w:r w:rsidRPr="00807652">
          <w:rPr>
            <w:rFonts w:ascii="Times New Roman" w:hAnsi="Times New Roman" w:cs="Times New Roman"/>
            <w:sz w:val="24"/>
            <w:szCs w:val="24"/>
          </w:rPr>
          <w:t>directoire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en date du 19 octobre 2017, faisant </w:t>
      </w:r>
      <w:hyperlink r:id="rId76" w:history="1">
        <w:r w:rsidRPr="00807652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au profit de la société </w:t>
      </w:r>
      <w:hyperlink r:id="rId77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ses droits éventuels sur la totalité des colonnes montantes de </w:t>
      </w:r>
      <w:hyperlink r:id="rId78" w:history="1">
        <w:r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d’électricité situées au sein de tous les immeubles lui appartenant sur les départements des Yvelines et de l’Essonne, et donc sur les ouvrages en </w:t>
      </w:r>
      <w:hyperlink r:id="rId79" w:history="1">
        <w:r w:rsidRPr="00807652">
          <w:rPr>
            <w:rFonts w:ascii="Times New Roman" w:hAnsi="Times New Roman" w:cs="Times New Roman"/>
            <w:sz w:val="24"/>
            <w:szCs w:val="24"/>
          </w:rPr>
          <w:t>cause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cet </w:t>
      </w:r>
      <w:hyperlink r:id="rId80" w:history="1">
        <w:r w:rsidRPr="00807652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807652">
          <w:rPr>
            <w:rFonts w:ascii="Times New Roman" w:hAnsi="Times New Roman" w:cs="Times New Roman"/>
            <w:sz w:val="24"/>
            <w:szCs w:val="24"/>
          </w:rPr>
          <w:t>unilatéral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étant pleinement efficace dès lors qu’il n’est subordonné, selon l’article 15 du </w:t>
      </w:r>
      <w:hyperlink r:id="rId82" w:history="1">
        <w:r w:rsidRPr="00807652">
          <w:rPr>
            <w:rFonts w:ascii="Times New Roman" w:hAnsi="Times New Roman" w:cs="Times New Roman"/>
            <w:sz w:val="24"/>
            <w:szCs w:val="24"/>
          </w:rPr>
          <w:t>contrat de 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à aucune </w:t>
      </w:r>
      <w:hyperlink r:id="rId83" w:history="1">
        <w:r w:rsidRPr="00807652">
          <w:rPr>
            <w:rFonts w:ascii="Times New Roman" w:hAnsi="Times New Roman" w:cs="Times New Roman"/>
            <w:sz w:val="24"/>
            <w:szCs w:val="24"/>
          </w:rPr>
          <w:t>condition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84" w:history="1">
        <w:r w:rsidRPr="00807652">
          <w:rPr>
            <w:rFonts w:ascii="Times New Roman" w:hAnsi="Times New Roman" w:cs="Times New Roman"/>
            <w:sz w:val="24"/>
            <w:szCs w:val="24"/>
          </w:rPr>
          <w:t>fond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En tout </w:t>
      </w:r>
      <w:hyperlink r:id="rId85" w:history="1">
        <w:r w:rsidRPr="00807652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86" w:history="1">
        <w:r w:rsidRPr="00807652">
          <w:rPr>
            <w:rFonts w:ascii="Times New Roman" w:hAnsi="Times New Roman" w:cs="Times New Roman"/>
            <w:sz w:val="24"/>
            <w:szCs w:val="24"/>
          </w:rPr>
          <w:t>cause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la société </w:t>
      </w:r>
      <w:hyperlink r:id="rId87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sollicite l’</w:t>
      </w:r>
      <w:hyperlink r:id="rId88" w:history="1">
        <w:r w:rsidRPr="00807652">
          <w:rPr>
            <w:rFonts w:ascii="Times New Roman" w:hAnsi="Times New Roman" w:cs="Times New Roman"/>
            <w:sz w:val="24"/>
            <w:szCs w:val="24"/>
          </w:rPr>
          <w:t>allocation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d’une somme de 8 000 euros en application de l’article </w:t>
      </w:r>
      <w:hyperlink r:id="rId89" w:history="1">
        <w:r w:rsidRPr="00807652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90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91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aux entiers </w:t>
      </w:r>
      <w:hyperlink r:id="rId92" w:history="1">
        <w:r w:rsidRPr="00807652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qui seront recouvrés conformément aux dispositions de l’article </w:t>
      </w:r>
      <w:hyperlink r:id="rId93" w:history="1">
        <w:r w:rsidRPr="00807652">
          <w:rPr>
            <w:rFonts w:ascii="Times New Roman" w:hAnsi="Times New Roman" w:cs="Times New Roman"/>
            <w:sz w:val="24"/>
            <w:szCs w:val="24"/>
          </w:rPr>
          <w:t>699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94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95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Aux termes de ses dernières </w:t>
      </w:r>
      <w:hyperlink r:id="rId96" w:history="1">
        <w:r w:rsidRPr="00807652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notifiées par voie électronique, le 26 octobre 2018, la société </w:t>
      </w:r>
      <w:hyperlink r:id="rId97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soutient l’</w:t>
      </w:r>
      <w:hyperlink r:id="rId98" w:history="1">
        <w:r w:rsidRPr="00807652">
          <w:rPr>
            <w:rFonts w:ascii="Times New Roman" w:hAnsi="Times New Roman" w:cs="Times New Roman"/>
            <w:sz w:val="24"/>
            <w:szCs w:val="24"/>
          </w:rPr>
          <w:t>irrecevabilité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demande de </w:t>
      </w:r>
      <w:hyperlink r:id="rId99" w:history="1">
        <w:r w:rsidRPr="00807652">
          <w:rPr>
            <w:rFonts w:ascii="Times New Roman" w:hAnsi="Times New Roman" w:cs="Times New Roman"/>
            <w:sz w:val="24"/>
            <w:szCs w:val="24"/>
          </w:rPr>
          <w:t>constat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</w:t>
      </w:r>
      <w:hyperlink r:id="rId100" w:history="1">
        <w:r w:rsidRPr="00807652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colonnes montantes par la société </w:t>
      </w:r>
      <w:hyperlink r:id="rId101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la </w:t>
      </w:r>
      <w:hyperlink r:id="rId102" w:history="1">
        <w:r w:rsidRPr="00807652">
          <w:rPr>
            <w:rFonts w:ascii="Times New Roman" w:hAnsi="Times New Roman" w:cs="Times New Roman"/>
            <w:sz w:val="24"/>
            <w:szCs w:val="24"/>
          </w:rPr>
          <w:t>confirmation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jugement déféré, le </w:t>
      </w:r>
      <w:hyperlink r:id="rId103" w:history="1">
        <w:r w:rsidRPr="00807652">
          <w:rPr>
            <w:rFonts w:ascii="Times New Roman" w:hAnsi="Times New Roman" w:cs="Times New Roman"/>
            <w:sz w:val="24"/>
            <w:szCs w:val="24"/>
          </w:rPr>
          <w:t>rejet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prétentions de l’appelante et sa condamnation au </w:t>
      </w:r>
      <w:hyperlink r:id="rId104" w:history="1">
        <w:r w:rsidRPr="00807652">
          <w:rPr>
            <w:rFonts w:ascii="Times New Roman" w:hAnsi="Times New Roman" w:cs="Times New Roman"/>
            <w:sz w:val="24"/>
            <w:szCs w:val="24"/>
          </w:rPr>
          <w:t>paiement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d’une indemnité de procédure de 8 000 euros et aux entiers </w:t>
      </w:r>
      <w:hyperlink r:id="rId105" w:history="1">
        <w:r w:rsidRPr="00807652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La </w:t>
      </w:r>
      <w:hyperlink r:id="rId106" w:history="1">
        <w:r w:rsidRPr="00807652">
          <w:rPr>
            <w:rFonts w:ascii="Times New Roman" w:hAnsi="Times New Roman" w:cs="Times New Roman"/>
            <w:sz w:val="24"/>
            <w:szCs w:val="24"/>
          </w:rPr>
          <w:t>clôture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est intervenue le 7 novembre 2018.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SUR CE, LA COUR,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Considérant au préalable, que les </w:t>
      </w:r>
      <w:hyperlink r:id="rId107" w:history="1">
        <w:r w:rsidRPr="00807652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l’appelante notifiées par voie électronique, le 7 novembre 2018 dans l’après-midi, soit après la </w:t>
      </w:r>
      <w:hyperlink r:id="rId108" w:history="1">
        <w:r w:rsidRPr="00807652">
          <w:rPr>
            <w:rFonts w:ascii="Times New Roman" w:hAnsi="Times New Roman" w:cs="Times New Roman"/>
            <w:sz w:val="24"/>
            <w:szCs w:val="24"/>
          </w:rPr>
          <w:t>clôture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prononcée à l’</w:t>
      </w:r>
      <w:hyperlink r:id="rId109" w:history="1">
        <w:r w:rsidRPr="00807652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10" w:history="1">
        <w:r w:rsidRPr="00807652">
          <w:rPr>
            <w:rFonts w:ascii="Times New Roman" w:hAnsi="Times New Roman" w:cs="Times New Roman"/>
            <w:sz w:val="24"/>
            <w:szCs w:val="24"/>
          </w:rPr>
          <w:t>mise en état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qui s’était tenue, le même jour dans la matinée, sont irrecevables </w:t>
      </w:r>
      <w:hyperlink r:id="rId111" w:history="1">
        <w:r w:rsidRPr="00807652">
          <w:rPr>
            <w:rFonts w:ascii="Times New Roman" w:hAnsi="Times New Roman" w:cs="Times New Roman"/>
            <w:sz w:val="24"/>
            <w:szCs w:val="24"/>
          </w:rPr>
          <w:t>faute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d’une </w:t>
      </w:r>
      <w:hyperlink r:id="rId112" w:history="1">
        <w:r w:rsidRPr="00807652">
          <w:rPr>
            <w:rFonts w:ascii="Times New Roman" w:hAnsi="Times New Roman" w:cs="Times New Roman"/>
            <w:sz w:val="24"/>
            <w:szCs w:val="24"/>
          </w:rPr>
          <w:t>révocation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</w:t>
      </w:r>
      <w:hyperlink r:id="rId113" w:history="1">
        <w:r w:rsidRPr="00807652">
          <w:rPr>
            <w:rFonts w:ascii="Times New Roman" w:hAnsi="Times New Roman" w:cs="Times New Roman"/>
            <w:sz w:val="24"/>
            <w:szCs w:val="24"/>
          </w:rPr>
          <w:t>ordonnance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14" w:history="1">
        <w:r w:rsidRPr="00807652">
          <w:rPr>
            <w:rFonts w:ascii="Times New Roman" w:hAnsi="Times New Roman" w:cs="Times New Roman"/>
            <w:sz w:val="24"/>
            <w:szCs w:val="24"/>
          </w:rPr>
          <w:t>clôture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qui n’a pas été prononcée, ni même sollicitée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Considérant qu’à </w:t>
      </w:r>
      <w:hyperlink r:id="rId115" w:history="1">
        <w:r w:rsidRPr="00807652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Pr="00807652">
          <w:rPr>
            <w:rFonts w:ascii="Times New Roman" w:hAnsi="Times New Roman" w:cs="Times New Roman"/>
            <w:sz w:val="24"/>
            <w:szCs w:val="24"/>
          </w:rPr>
          <w:t>principal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la société </w:t>
      </w:r>
      <w:hyperlink r:id="rId117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affirme l’existence d’une </w:t>
      </w:r>
      <w:hyperlink r:id="rId118" w:history="1">
        <w:r w:rsidRPr="00807652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l’appartenance des colonnes montantes d’électricité au réseau public d’électricité, imposée par des impératifs de sécurité et dit que celles des […] et 4, 5 et […] ont été endommagées par l’incendie, ainsi qu’elle en justifie par un </w:t>
      </w:r>
      <w:hyperlink r:id="rId119" w:history="1">
        <w:r w:rsidRPr="00807652">
          <w:rPr>
            <w:rFonts w:ascii="Times New Roman" w:hAnsi="Times New Roman" w:cs="Times New Roman"/>
            <w:sz w:val="24"/>
            <w:szCs w:val="24"/>
          </w:rPr>
          <w:t>constat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120" w:history="1">
        <w:r w:rsidRPr="00807652">
          <w:rPr>
            <w:rFonts w:ascii="Times New Roman" w:hAnsi="Times New Roman" w:cs="Times New Roman"/>
            <w:sz w:val="24"/>
            <w:szCs w:val="24"/>
          </w:rPr>
          <w:t>huissier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 ; qu’elle fait valoir que cette </w:t>
      </w:r>
      <w:hyperlink r:id="rId121" w:history="1">
        <w:r w:rsidRPr="00807652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a été consacrée par les juridictions administratives et judiciaires en conformité avec les recommandations du médiateur national de l’énergie, qui en rappelle l’existence depuis le </w:t>
      </w:r>
      <w:hyperlink r:id="rId122" w:history="1">
        <w:r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8 novembre 1946, qui pose le principe d’une incorporation immédiate au réseau public de toutes les colonnes montantes, la </w:t>
      </w:r>
      <w:hyperlink r:id="rId123" w:history="1">
        <w:r w:rsidRPr="00807652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d’une situation </w:t>
      </w:r>
      <w:hyperlink r:id="rId124" w:history="1">
        <w:r w:rsidRPr="00807652">
          <w:rPr>
            <w:rFonts w:ascii="Times New Roman" w:hAnsi="Times New Roman" w:cs="Times New Roman"/>
            <w:sz w:val="24"/>
            <w:szCs w:val="24"/>
          </w:rPr>
          <w:t>dérogatoire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incombant à la société </w:t>
      </w:r>
      <w:hyperlink r:id="rId125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>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Que celle-ci précise que les colonnes montantes sont contemporaines de la construction de l’</w:t>
      </w:r>
      <w:hyperlink r:id="rId126" w:history="1">
        <w:r w:rsidRPr="00807652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dans les années 1960 ; qu’elle prétend qu’elles sont la </w:t>
      </w:r>
      <w:hyperlink r:id="rId127" w:history="1">
        <w:r w:rsidRPr="00807652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bailleur social, ainsi qu’il </w:t>
      </w:r>
      <w:hyperlink r:id="rId128" w:history="1">
        <w:r w:rsidRPr="00807652">
          <w:rPr>
            <w:rFonts w:ascii="Times New Roman" w:hAnsi="Times New Roman" w:cs="Times New Roman"/>
            <w:sz w:val="24"/>
            <w:szCs w:val="24"/>
          </w:rPr>
          <w:t>ressort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termes de la </w:t>
      </w:r>
      <w:hyperlink r:id="rId129" w:history="1">
        <w:r w:rsidRPr="00807652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 ; qu’elle conteste qu’il existe une </w:t>
      </w:r>
      <w:hyperlink r:id="rId130" w:history="1">
        <w:r w:rsidRPr="00807652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131" w:history="1">
        <w:r w:rsidRPr="00807652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le </w:t>
      </w:r>
      <w:hyperlink r:id="rId132" w:history="1">
        <w:r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8 novembre 1946 (pris en application de la </w:t>
      </w:r>
      <w:hyperlink r:id="rId133" w:history="1">
        <w:r w:rsidRPr="00807652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8 avril 1946 sur la nationalisation des entreprises privées d’électricité) ne visant que l’incorporation au réseau des colonnes construites avant 1946 par les sociétés nationalisées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Considérant que le </w:t>
      </w:r>
      <w:hyperlink r:id="rId134" w:history="1">
        <w:r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8 novembre 1946 pris en application de l’article 44 de la </w:t>
      </w:r>
      <w:hyperlink r:id="rId135" w:history="1">
        <w:r w:rsidRPr="00807652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8 avril 1946 énonce, en son article premier :</w:t>
      </w:r>
    </w:p>
    <w:p w:rsidR="00807652" w:rsidRPr="00807652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807652" w:rsidRPr="00807652">
        <w:rPr>
          <w:rFonts w:ascii="Times New Roman" w:hAnsi="Times New Roman" w:cs="Times New Roman"/>
          <w:sz w:val="24"/>
          <w:szCs w:val="24"/>
        </w:rPr>
        <w:t xml:space="preserve">Dès la </w:t>
      </w:r>
      <w:hyperlink r:id="rId136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publication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 du présent </w:t>
      </w:r>
      <w:hyperlink r:id="rId137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, sont incorporés aux réseaux de </w:t>
      </w:r>
      <w:hyperlink r:id="rId138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 d’électricité tous les ouvrages à usage collectif de transmission ou de transformation d’électricité établis sur une </w:t>
      </w:r>
      <w:hyperlink r:id="rId139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 privée, à l’</w:t>
      </w:r>
      <w:hyperlink r:id="rId140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exception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 de ceux des ouvrages appartenant au propriétaire de l’</w:t>
      </w:r>
      <w:hyperlink r:id="rId141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 dans lequel ils sont établis, pour lesquels celui-ci ne perçoit ou accepte de ne percevoir à l’avenir aucune </w:t>
      </w:r>
      <w:hyperlink r:id="rId142" w:history="1">
        <w:r w:rsidR="00807652" w:rsidRPr="00807652">
          <w:rPr>
            <w:rFonts w:ascii="Times New Roman" w:hAnsi="Times New Roman" w:cs="Times New Roman"/>
            <w:sz w:val="24"/>
            <w:szCs w:val="24"/>
          </w:rPr>
          <w:t>redevance</w:t>
        </w:r>
      </w:hyperlink>
      <w:r w:rsidR="00807652" w:rsidRPr="00807652">
        <w:rPr>
          <w:rFonts w:ascii="Times New Roman" w:hAnsi="Times New Roman" w:cs="Times New Roman"/>
          <w:sz w:val="24"/>
          <w:szCs w:val="24"/>
        </w:rPr>
        <w:t xml:space="preserve"> spéciale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807652" w:rsidRPr="00807652">
        <w:rPr>
          <w:rFonts w:ascii="Times New Roman" w:hAnsi="Times New Roman" w:cs="Times New Roman"/>
          <w:sz w:val="24"/>
          <w:szCs w:val="24"/>
        </w:rPr>
        <w:t>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3365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Qu’il pose le principe de l’incorporation des colonnes montantes dans le réseau public de </w:t>
      </w:r>
      <w:hyperlink r:id="rId143" w:history="1">
        <w:r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d’électricité, indépendamment de la date de </w:t>
      </w:r>
      <w:hyperlink r:id="rId144" w:history="1">
        <w:r w:rsidRPr="00807652">
          <w:rPr>
            <w:rFonts w:ascii="Times New Roman" w:hAnsi="Times New Roman" w:cs="Times New Roman"/>
            <w:sz w:val="24"/>
            <w:szCs w:val="24"/>
          </w:rPr>
          <w:t>signature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45" w:history="1">
        <w:r w:rsidRPr="00807652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localement </w:t>
      </w:r>
      <w:r w:rsidRPr="00807652">
        <w:rPr>
          <w:rFonts w:ascii="Times New Roman" w:hAnsi="Times New Roman" w:cs="Times New Roman"/>
          <w:sz w:val="24"/>
          <w:szCs w:val="24"/>
        </w:rPr>
        <w:lastRenderedPageBreak/>
        <w:t xml:space="preserve">applicable, sauf pour celles dont le propriétaire veut expressément conserver la </w:t>
      </w:r>
      <w:hyperlink r:id="rId146" w:history="1">
        <w:r w:rsidRPr="00807652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sans </w:t>
      </w:r>
      <w:hyperlink r:id="rId147" w:history="1">
        <w:r w:rsidRPr="00807652">
          <w:rPr>
            <w:rFonts w:ascii="Times New Roman" w:hAnsi="Times New Roman" w:cs="Times New Roman"/>
            <w:sz w:val="24"/>
            <w:szCs w:val="24"/>
          </w:rPr>
          <w:t>pouvoir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continuer à percevoir de redevances, ce qui enlève d’ailleurs tout </w:t>
      </w:r>
      <w:hyperlink r:id="rId148" w:history="1">
        <w:r w:rsidRPr="00807652">
          <w:rPr>
            <w:rFonts w:ascii="Times New Roman" w:hAnsi="Times New Roman" w:cs="Times New Roman"/>
            <w:sz w:val="24"/>
            <w:szCs w:val="24"/>
          </w:rPr>
          <w:t>intérêt</w:t>
        </w:r>
      </w:hyperlink>
      <w:r w:rsidR="00043365">
        <w:rPr>
          <w:rFonts w:ascii="Times New Roman" w:hAnsi="Times New Roman" w:cs="Times New Roman"/>
          <w:sz w:val="24"/>
          <w:szCs w:val="24"/>
        </w:rPr>
        <w:t xml:space="preserve"> à un tel choix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Que les dispositions du </w:t>
      </w:r>
      <w:hyperlink r:id="rId149" w:history="1">
        <w:r w:rsidRPr="00807652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29 mars 1955 relatif au renforcement des colonnes montantes viennent conforter ce principe d’incorporation, dans la mesure elles en excluent uniquement les colonnes montantes appartenant aux propriétaires de l’</w:t>
      </w:r>
      <w:hyperlink r:id="rId150" w:history="1">
        <w:r w:rsidRPr="00807652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dans lequel elles sont établies et pour lesquels ces derniers ne perçoivent aucune </w:t>
      </w:r>
      <w:hyperlink r:id="rId151" w:history="1">
        <w:r w:rsidRPr="00807652">
          <w:rPr>
            <w:rFonts w:ascii="Times New Roman" w:hAnsi="Times New Roman" w:cs="Times New Roman"/>
            <w:sz w:val="24"/>
            <w:szCs w:val="24"/>
          </w:rPr>
          <w:t>redevance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ou acceptent pour l’avenir de n’en percevoir aucune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Qu’il n’est ainsi fait </w:t>
      </w:r>
      <w:hyperlink r:id="rId152" w:history="1">
        <w:r w:rsidRPr="00807652">
          <w:rPr>
            <w:rFonts w:ascii="Times New Roman" w:hAnsi="Times New Roman" w:cs="Times New Roman"/>
            <w:sz w:val="24"/>
            <w:szCs w:val="24"/>
          </w:rPr>
          <w:t>exception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à l’incorporation au réseau public des colonnes montantes que dans l’hypothèse où le propriétaire concerné fait le choix de conserver la </w:t>
      </w:r>
      <w:hyperlink r:id="rId153" w:history="1">
        <w:r w:rsidRPr="00807652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colonne, choix qui doit être porté à la connaissance du gestionnaire du réseau public, sans qu’il y ait lieu de distinguer selon la date d’</w:t>
      </w:r>
      <w:hyperlink r:id="rId154" w:history="1">
        <w:r w:rsidRPr="00807652">
          <w:rPr>
            <w:rFonts w:ascii="Times New Roman" w:hAnsi="Times New Roman" w:cs="Times New Roman"/>
            <w:sz w:val="24"/>
            <w:szCs w:val="24"/>
          </w:rPr>
          <w:t>installation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colonne montante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Que la </w:t>
      </w:r>
      <w:hyperlink r:id="rId155" w:history="1">
        <w:r w:rsidRPr="00807652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56" w:history="1">
        <w:r w:rsidRPr="00807652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l’exclusion de la colonne montante de la </w:t>
      </w:r>
      <w:hyperlink r:id="rId157" w:history="1">
        <w:r w:rsidRPr="00807652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58" w:history="1">
        <w:r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publique d’électricité incombe donc à la société </w:t>
      </w:r>
      <w:hyperlink r:id="rId159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laquelle doit démontrer que le propriétaire a voulu conserver la </w:t>
      </w:r>
      <w:hyperlink r:id="rId160" w:history="1">
        <w:r w:rsidRPr="00807652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la colonne montante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Que la société </w:t>
      </w:r>
      <w:hyperlink r:id="rId161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ne peut trouver cette </w:t>
      </w:r>
      <w:hyperlink r:id="rId162" w:history="1">
        <w:r w:rsidRPr="00807652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dans les dispositions du </w:t>
      </w:r>
      <w:hyperlink r:id="rId163" w:history="1">
        <w:r w:rsidRPr="00807652">
          <w:rPr>
            <w:rFonts w:ascii="Times New Roman" w:hAnsi="Times New Roman" w:cs="Times New Roman"/>
            <w:sz w:val="24"/>
            <w:szCs w:val="24"/>
          </w:rPr>
          <w:t>contrat de concession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signé par le </w:t>
      </w:r>
      <w:hyperlink r:id="rId164" w:history="1">
        <w:r w:rsidRPr="00807652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intercommunal en 1996 et son </w:t>
      </w:r>
      <w:hyperlink r:id="rId165" w:history="1">
        <w:r w:rsidRPr="00807652">
          <w:rPr>
            <w:rFonts w:ascii="Times New Roman" w:hAnsi="Times New Roman" w:cs="Times New Roman"/>
            <w:sz w:val="24"/>
            <w:szCs w:val="24"/>
          </w:rPr>
          <w:t>avenant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n°1 prenant en compte l’intégration du réseau de la </w:t>
      </w:r>
      <w:hyperlink r:id="rId166" w:history="1">
        <w:r w:rsidRPr="00807652">
          <w:rPr>
            <w:rFonts w:ascii="Times New Roman" w:hAnsi="Times New Roman" w:cs="Times New Roman"/>
            <w:sz w:val="24"/>
            <w:szCs w:val="24"/>
          </w:rPr>
          <w:t>commune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Corbeil-Essonnes ; qu’en effet,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si, l’article 2 précise que les installations affectées à la </w:t>
      </w:r>
      <w:hyperlink r:id="rId167" w:history="1">
        <w:r w:rsidRPr="00807652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comprennent aussi les branchements visés à l’article 15, ce dernier article énonce que la </w:t>
      </w:r>
      <w:hyperlink r:id="rId168" w:history="1">
        <w:r w:rsidRPr="00807652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branchements antérieurement dénommés branchements intérieurs et notamment les colonnes montantes déjà existantes, qui appartient aux propriétaires de l’</w:t>
      </w:r>
      <w:hyperlink r:id="rId169" w:history="1">
        <w:r w:rsidRPr="00807652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continuera à être entretenue et renouvelée par ces derniers, à moins qu’ils ne fassent </w:t>
      </w:r>
      <w:hyperlink r:id="rId170" w:history="1">
        <w:r w:rsidRPr="00807652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leur droits 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Que ces textes, qui ont vocation à régir les immeubles situés sur les communes qui ont institué le SIARCE gestionnaire de leur réseau, subordonnent la </w:t>
      </w:r>
      <w:hyperlink r:id="rId171" w:history="1">
        <w:r w:rsidRPr="00807652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l’entretien de la colonne montante par le propriétaire de l’</w:t>
      </w:r>
      <w:hyperlink r:id="rId172" w:history="1">
        <w:r w:rsidRPr="00807652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au fait qu’il en est propriétaire, ce dont la société </w:t>
      </w:r>
      <w:hyperlink r:id="rId173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doit rapporter la </w:t>
      </w:r>
      <w:hyperlink r:id="rId174" w:history="1">
        <w:r w:rsidRPr="00807652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807652">
        <w:rPr>
          <w:rFonts w:ascii="Times New Roman" w:hAnsi="Times New Roman" w:cs="Times New Roman"/>
          <w:sz w:val="24"/>
          <w:szCs w:val="24"/>
        </w:rPr>
        <w:t>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Que, ne contestant pas la nécessité de remettre en l’</w:t>
      </w:r>
      <w:hyperlink r:id="rId175" w:history="1">
        <w:r w:rsidRPr="00807652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les colonnes montantes litigieuses, la société </w:t>
      </w:r>
      <w:hyperlink r:id="rId176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sera, en conséquence, condamnée à procéder à ces travaux, dans les termes du </w:t>
      </w:r>
      <w:hyperlink r:id="rId177" w:history="1">
        <w:r w:rsidRPr="00807652">
          <w:rPr>
            <w:rFonts w:ascii="Times New Roman" w:hAnsi="Times New Roman" w:cs="Times New Roman"/>
            <w:sz w:val="24"/>
            <w:szCs w:val="24"/>
          </w:rPr>
          <w:t>dispositif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ci-dessous, étant rappelé que l’article </w:t>
      </w:r>
      <w:hyperlink r:id="rId178" w:history="1">
        <w:r w:rsidRPr="00807652">
          <w:rPr>
            <w:rFonts w:ascii="Times New Roman" w:hAnsi="Times New Roman" w:cs="Times New Roman"/>
            <w:sz w:val="24"/>
            <w:szCs w:val="24"/>
          </w:rPr>
          <w:t>L. 131-2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79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des procédures civiles d’exécution exclut qu’une </w:t>
      </w:r>
      <w:hyperlink r:id="rId180" w:history="1">
        <w:r w:rsidRPr="00807652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définitive puisse être prononcée d’emblée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Considérant que, dès lors que la cour fait droit à la demande principale de la société </w:t>
      </w:r>
      <w:hyperlink r:id="rId181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il n’y a pas lieu d’examiner la demande présentée, à </w:t>
      </w:r>
      <w:hyperlink r:id="rId182" w:history="1">
        <w:r w:rsidRPr="00807652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 w:rsidRPr="00807652">
          <w:rPr>
            <w:rFonts w:ascii="Times New Roman" w:hAnsi="Times New Roman" w:cs="Times New Roman"/>
            <w:sz w:val="24"/>
            <w:szCs w:val="24"/>
          </w:rPr>
          <w:t>subsidiaire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par cette société et sa </w:t>
      </w:r>
      <w:hyperlink r:id="rId184" w:history="1">
        <w:r w:rsidRPr="00807652">
          <w:rPr>
            <w:rFonts w:ascii="Times New Roman" w:hAnsi="Times New Roman" w:cs="Times New Roman"/>
            <w:sz w:val="24"/>
            <w:szCs w:val="24"/>
          </w:rPr>
          <w:t>recevabilité</w:t>
        </w:r>
      </w:hyperlink>
      <w:r w:rsidRPr="00807652">
        <w:rPr>
          <w:rFonts w:ascii="Times New Roman" w:hAnsi="Times New Roman" w:cs="Times New Roman"/>
          <w:sz w:val="24"/>
          <w:szCs w:val="24"/>
        </w:rPr>
        <w:t>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Considérant que la société </w:t>
      </w:r>
      <w:hyperlink r:id="rId185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 w:rsidRPr="00807652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perdante, sera condamnée aux </w:t>
      </w:r>
      <w:hyperlink r:id="rId187" w:history="1">
        <w:r w:rsidRPr="00807652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première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hyperlink r:id="rId188" w:history="1">
        <w:proofErr w:type="gramStart"/>
        <w:r w:rsidRPr="00807652">
          <w:rPr>
            <w:rFonts w:ascii="Times New Roman" w:hAnsi="Times New Roman" w:cs="Times New Roman"/>
            <w:sz w:val="24"/>
            <w:szCs w:val="24"/>
          </w:rPr>
          <w:t>instance</w:t>
        </w:r>
        <w:proofErr w:type="gramEnd"/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d’</w:t>
      </w:r>
      <w:hyperlink r:id="rId189" w:history="1">
        <w:r w:rsidRPr="00807652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devra rembourser les </w:t>
      </w:r>
      <w:hyperlink r:id="rId190" w:history="1">
        <w:r w:rsidRPr="00807652">
          <w:rPr>
            <w:rFonts w:ascii="Times New Roman" w:hAnsi="Times New Roman" w:cs="Times New Roman"/>
            <w:sz w:val="24"/>
            <w:szCs w:val="24"/>
          </w:rPr>
          <w:t>frais irrépétibles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exposés par l’appelante dans la limite de 3 000 euros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043365" w:rsidRDefault="00807652" w:rsidP="00807652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65">
        <w:rPr>
          <w:rFonts w:ascii="Times New Roman" w:hAnsi="Times New Roman" w:cs="Times New Roman"/>
          <w:b/>
          <w:sz w:val="24"/>
          <w:szCs w:val="24"/>
        </w:rPr>
        <w:t>PAR CES MOTIFS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La Cour, statuant en </w:t>
      </w:r>
      <w:hyperlink r:id="rId191" w:history="1">
        <w:r w:rsidRPr="00807652">
          <w:rPr>
            <w:rFonts w:ascii="Times New Roman" w:hAnsi="Times New Roman" w:cs="Times New Roman"/>
            <w:sz w:val="24"/>
            <w:szCs w:val="24"/>
          </w:rPr>
          <w:t>dernier ressort</w:t>
        </w:r>
      </w:hyperlink>
      <w:r w:rsidRPr="00807652">
        <w:rPr>
          <w:rFonts w:ascii="Times New Roman" w:hAnsi="Times New Roman" w:cs="Times New Roman"/>
          <w:sz w:val="24"/>
          <w:szCs w:val="24"/>
        </w:rPr>
        <w:t>, contradictoirement et publiquement par mise à disposition de la décision au greffe,</w:t>
      </w:r>
    </w:p>
    <w:p w:rsidR="00043365" w:rsidRPr="00807652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Infirme le jugement rendu par le tribunal de grande </w:t>
      </w:r>
      <w:hyperlink r:id="rId192" w:history="1">
        <w:r w:rsidRPr="00807652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d’Evry le 24 février 2017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>Statuant à nouveau,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7652">
        <w:rPr>
          <w:rFonts w:ascii="Times New Roman" w:hAnsi="Times New Roman" w:cs="Times New Roman"/>
          <w:sz w:val="24"/>
          <w:szCs w:val="24"/>
        </w:rPr>
        <w:t xml:space="preserve">Condamne la société </w:t>
      </w:r>
      <w:hyperlink r:id="rId193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à réaliser, à ses frais et sous sa responsabilité, les travaux de remise en état des colonnes montantes des immeubles situés à Corbeil-Essonnes, […] et 4, 5 et […] et, à défaut d’exécution de ces travaux, dans les quatre mois de la </w:t>
      </w:r>
      <w:hyperlink r:id="rId194" w:history="1">
        <w:r w:rsidRPr="00807652">
          <w:rPr>
            <w:rFonts w:ascii="Times New Roman" w:hAnsi="Times New Roman" w:cs="Times New Roman"/>
            <w:sz w:val="24"/>
            <w:szCs w:val="24"/>
          </w:rPr>
          <w:t>signification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du présent </w:t>
      </w:r>
      <w:hyperlink r:id="rId195" w:history="1">
        <w:r w:rsidRPr="00807652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passé ce </w:t>
      </w:r>
      <w:hyperlink r:id="rId196" w:history="1">
        <w:r w:rsidRPr="00807652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, sous </w:t>
      </w:r>
      <w:hyperlink r:id="rId197" w:history="1">
        <w:r w:rsidRPr="00807652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Pr="00807652">
          <w:rPr>
            <w:rFonts w:ascii="Times New Roman" w:hAnsi="Times New Roman" w:cs="Times New Roman"/>
            <w:sz w:val="24"/>
            <w:szCs w:val="24"/>
          </w:rPr>
          <w:t>provisoire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100 euros par colonne et par jour de retard jusqu’à réalisation complète des travaux ;</w:t>
      </w:r>
    </w:p>
    <w:p w:rsidR="00043365" w:rsidRDefault="00043365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652">
        <w:rPr>
          <w:rFonts w:ascii="Times New Roman" w:hAnsi="Times New Roman" w:cs="Times New Roman"/>
          <w:sz w:val="24"/>
          <w:szCs w:val="24"/>
        </w:rPr>
        <w:t xml:space="preserve">Condamne la société </w:t>
      </w:r>
      <w:hyperlink r:id="rId199" w:history="1">
        <w:r w:rsidRPr="00807652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à payer à la </w:t>
      </w:r>
      <w:hyperlink r:id="rId200" w:history="1">
        <w:r w:rsidRPr="00807652">
          <w:rPr>
            <w:rFonts w:ascii="Times New Roman" w:hAnsi="Times New Roman" w:cs="Times New Roman"/>
            <w:sz w:val="24"/>
            <w:szCs w:val="24"/>
          </w:rPr>
          <w:t>société anonyme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d’habitations à loyer modéré </w:t>
      </w:r>
      <w:hyperlink r:id="rId201" w:history="1">
        <w:r w:rsidRPr="00807652">
          <w:rPr>
            <w:rFonts w:ascii="Times New Roman" w:hAnsi="Times New Roman" w:cs="Times New Roman"/>
            <w:sz w:val="24"/>
            <w:szCs w:val="24"/>
          </w:rPr>
          <w:t>Les résidences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la somme de 3 000 euros en application de l’article </w:t>
      </w:r>
      <w:hyperlink r:id="rId202" w:history="1">
        <w:r w:rsidRPr="00807652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03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04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aux </w:t>
      </w:r>
      <w:hyperlink r:id="rId205" w:history="1">
        <w:r w:rsidRPr="00807652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première </w:t>
      </w:r>
      <w:hyperlink r:id="rId206" w:history="1">
        <w:r w:rsidRPr="00807652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et d’</w:t>
      </w:r>
      <w:hyperlink r:id="rId207" w:history="1">
        <w:r w:rsidRPr="00807652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qui seront recouvrés conformément aux dispositions de l’article </w:t>
      </w:r>
      <w:hyperlink r:id="rId208" w:history="1">
        <w:r w:rsidRPr="00807652">
          <w:rPr>
            <w:rFonts w:ascii="Times New Roman" w:hAnsi="Times New Roman" w:cs="Times New Roman"/>
            <w:sz w:val="24"/>
            <w:szCs w:val="24"/>
          </w:rPr>
          <w:t>699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09" w:history="1">
        <w:r w:rsidRPr="00807652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807652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10" w:history="1">
        <w:r w:rsidRPr="00807652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807652">
        <w:rPr>
          <w:rFonts w:ascii="Times New Roman" w:hAnsi="Times New Roman" w:cs="Times New Roman"/>
          <w:sz w:val="24"/>
          <w:szCs w:val="24"/>
        </w:rPr>
        <w:t>.</w:t>
      </w:r>
    </w:p>
    <w:p w:rsidR="00807652" w:rsidRPr="00807652" w:rsidRDefault="00807652" w:rsidP="008076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sectPr w:rsidR="00807652" w:rsidRPr="0080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3"/>
    <w:rsid w:val="00043365"/>
    <w:rsid w:val="00625281"/>
    <w:rsid w:val="00662BB3"/>
    <w:rsid w:val="00807652"/>
    <w:rsid w:val="00C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7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7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85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7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7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7418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82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140787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2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52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3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BFBFB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74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1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3366BB"/>
                                                                                    <w:left w:val="none" w:sz="0" w:space="0" w:color="3366BB"/>
                                                                                    <w:bottom w:val="none" w:sz="0" w:space="0" w:color="3366BB"/>
                                                                                    <w:right w:val="none" w:sz="0" w:space="0" w:color="3366B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24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3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3366BB"/>
                                                                                    <w:left w:val="none" w:sz="0" w:space="0" w:color="3366BB"/>
                                                                                    <w:bottom w:val="none" w:sz="0" w:space="0" w:color="3366BB"/>
                                                                                    <w:right w:val="none" w:sz="0" w:space="0" w:color="3366B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55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96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3366BB"/>
                                                                                    <w:left w:val="none" w:sz="0" w:space="0" w:color="3366BB"/>
                                                                                    <w:bottom w:val="none" w:sz="0" w:space="0" w:color="3366BB"/>
                                                                                    <w:right w:val="none" w:sz="0" w:space="0" w:color="3366B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8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9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15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43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55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53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7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7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2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52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30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7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6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145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7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39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39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63308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071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914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346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8428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4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08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248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73356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70230">
                                              <w:marLeft w:val="0"/>
                                              <w:marRight w:val="0"/>
                                              <w:marTop w:val="48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2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ctrine.fr/e/ENT62B3DBB7B1D12B53A919?source=decisionPageLink" TargetMode="External"/><Relationship Id="rId21" Type="http://schemas.openxmlformats.org/officeDocument/2006/relationships/hyperlink" Target="https://www.doctrine.fr/?q=code&amp;source=fichekeywordlink" TargetMode="External"/><Relationship Id="rId42" Type="http://schemas.openxmlformats.org/officeDocument/2006/relationships/hyperlink" Target="https://www.doctrine.fr/?q=charge&amp;source=fichekeywordlink" TargetMode="External"/><Relationship Id="rId63" Type="http://schemas.openxmlformats.org/officeDocument/2006/relationships/hyperlink" Target="https://www.doctrine.fr/?q=d%C3%A9lai&amp;source=fichekeywordlink" TargetMode="External"/><Relationship Id="rId84" Type="http://schemas.openxmlformats.org/officeDocument/2006/relationships/hyperlink" Target="https://www.doctrine.fr/?q=fond&amp;source=fichekeywordlink" TargetMode="External"/><Relationship Id="rId138" Type="http://schemas.openxmlformats.org/officeDocument/2006/relationships/hyperlink" Target="https://www.doctrine.fr/?q=distribution&amp;source=fichekeywordlink" TargetMode="External"/><Relationship Id="rId159" Type="http://schemas.openxmlformats.org/officeDocument/2006/relationships/hyperlink" Target="https://www.doctrine.fr/e/ENT5DDABEF1783A1254C64C?source=decisionPageLink" TargetMode="External"/><Relationship Id="rId170" Type="http://schemas.openxmlformats.org/officeDocument/2006/relationships/hyperlink" Target="https://www.doctrine.fr/?q=abandon&amp;source=fichekeywordlink" TargetMode="External"/><Relationship Id="rId191" Type="http://schemas.openxmlformats.org/officeDocument/2006/relationships/hyperlink" Target="https://www.doctrine.fr/?q=dernier%20ressort&amp;source=fichekeywordlink" TargetMode="External"/><Relationship Id="rId205" Type="http://schemas.openxmlformats.org/officeDocument/2006/relationships/hyperlink" Target="https://www.doctrine.fr/?q=d%C3%A9pens&amp;source=fichekeywordlink" TargetMode="External"/><Relationship Id="rId107" Type="http://schemas.openxmlformats.org/officeDocument/2006/relationships/hyperlink" Target="https://www.doctrine.fr/?q=conclusions&amp;source=fichekeywordlink" TargetMode="External"/><Relationship Id="rId11" Type="http://schemas.openxmlformats.org/officeDocument/2006/relationships/hyperlink" Target="https://www.doctrine.fr/p/cabinet/LFM197C48744FA48837BE5F?source=decisionPageLink" TargetMode="External"/><Relationship Id="rId32" Type="http://schemas.openxmlformats.org/officeDocument/2006/relationships/hyperlink" Target="https://www.doctrine.fr/?q=code&amp;source=fichekeywordlink" TargetMode="External"/><Relationship Id="rId37" Type="http://schemas.openxmlformats.org/officeDocument/2006/relationships/hyperlink" Target="https://www.doctrine.fr/?q=intervention&amp;source=fichekeywordlink" TargetMode="External"/><Relationship Id="rId53" Type="http://schemas.openxmlformats.org/officeDocument/2006/relationships/hyperlink" Target="https://www.doctrine.fr/?q=conclusions&amp;source=fichekeywordlink" TargetMode="External"/><Relationship Id="rId58" Type="http://schemas.openxmlformats.org/officeDocument/2006/relationships/hyperlink" Target="https://www.doctrine.fr/?q=d%C3%A9cret&amp;source=fichekeywordlink" TargetMode="External"/><Relationship Id="rId74" Type="http://schemas.openxmlformats.org/officeDocument/2006/relationships/hyperlink" Target="https://www.doctrine.fr/?q=constat&amp;source=fichekeywordlink" TargetMode="External"/><Relationship Id="rId79" Type="http://schemas.openxmlformats.org/officeDocument/2006/relationships/hyperlink" Target="https://www.doctrine.fr/?q=cause&amp;source=fichekeywordlink" TargetMode="External"/><Relationship Id="rId102" Type="http://schemas.openxmlformats.org/officeDocument/2006/relationships/hyperlink" Target="https://www.doctrine.fr/?q=confirmation&amp;source=fichekeywordlink" TargetMode="External"/><Relationship Id="rId123" Type="http://schemas.openxmlformats.org/officeDocument/2006/relationships/hyperlink" Target="https://www.doctrine.fr/?q=preuve&amp;source=fichekeywordlink" TargetMode="External"/><Relationship Id="rId128" Type="http://schemas.openxmlformats.org/officeDocument/2006/relationships/hyperlink" Target="https://www.doctrine.fr/?q=ressort&amp;source=fichekeywordlink" TargetMode="External"/><Relationship Id="rId144" Type="http://schemas.openxmlformats.org/officeDocument/2006/relationships/hyperlink" Target="https://www.doctrine.fr/?q=signature&amp;source=fichekeywordlink" TargetMode="External"/><Relationship Id="rId149" Type="http://schemas.openxmlformats.org/officeDocument/2006/relationships/hyperlink" Target="https://www.doctrine.fr/?q=d%C3%A9cret&amp;source=fichekeywordlink" TargetMode="External"/><Relationship Id="rId5" Type="http://schemas.openxmlformats.org/officeDocument/2006/relationships/hyperlink" Target="https://www.doctrine.fr/e/ENT62B3DBB7B1D12B53A919?source=decisionPageLink" TargetMode="External"/><Relationship Id="rId90" Type="http://schemas.openxmlformats.org/officeDocument/2006/relationships/hyperlink" Target="https://www.doctrine.fr/?q=code&amp;source=fichekeywordlink" TargetMode="External"/><Relationship Id="rId95" Type="http://schemas.openxmlformats.org/officeDocument/2006/relationships/hyperlink" Target="https://www.doctrine.fr/?q=proc%C3%A9dure%20civile&amp;source=fichekeywordlink" TargetMode="External"/><Relationship Id="rId160" Type="http://schemas.openxmlformats.org/officeDocument/2006/relationships/hyperlink" Target="https://www.doctrine.fr/?q=propri%C3%A9t%C3%A9&amp;source=fichekeywordlink" TargetMode="External"/><Relationship Id="rId165" Type="http://schemas.openxmlformats.org/officeDocument/2006/relationships/hyperlink" Target="https://www.doctrine.fr/?q=avenant&amp;source=fichekeywordlink" TargetMode="External"/><Relationship Id="rId181" Type="http://schemas.openxmlformats.org/officeDocument/2006/relationships/hyperlink" Target="https://www.doctrine.fr/e/ENT62B3DBB7B1D12B53A919?source=decisionPageLink" TargetMode="External"/><Relationship Id="rId186" Type="http://schemas.openxmlformats.org/officeDocument/2006/relationships/hyperlink" Target="https://www.doctrine.fr/?q=partie&amp;source=fichekeywordlink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www.doctrine.fr/?q=proc%C3%A9dure%20civile&amp;source=fichekeywordlink" TargetMode="External"/><Relationship Id="rId27" Type="http://schemas.openxmlformats.org/officeDocument/2006/relationships/hyperlink" Target="https://www.doctrine.fr/?q=code&amp;source=fichekeywordlink" TargetMode="External"/><Relationship Id="rId43" Type="http://schemas.openxmlformats.org/officeDocument/2006/relationships/hyperlink" Target="https://www.doctrine.fr/?q=concession&amp;source=fichekeywordlink" TargetMode="External"/><Relationship Id="rId48" Type="http://schemas.openxmlformats.org/officeDocument/2006/relationships/hyperlink" Target="https://www.doctrine.fr/?q=proc%C3%A9dure%20civile&amp;source=fichekeywordlink" TargetMode="External"/><Relationship Id="rId64" Type="http://schemas.openxmlformats.org/officeDocument/2006/relationships/hyperlink" Target="https://www.doctrine.fr/?q=arr%C3%AAt&amp;source=fichekeywordlink" TargetMode="External"/><Relationship Id="rId69" Type="http://schemas.openxmlformats.org/officeDocument/2006/relationships/hyperlink" Target="https://www.doctrine.fr/e/ENT5DDABEF1783A1254C64C?source=decisionPageLink" TargetMode="External"/><Relationship Id="rId113" Type="http://schemas.openxmlformats.org/officeDocument/2006/relationships/hyperlink" Target="https://www.doctrine.fr/?q=ordonnance&amp;source=fichekeywordlink" TargetMode="External"/><Relationship Id="rId118" Type="http://schemas.openxmlformats.org/officeDocument/2006/relationships/hyperlink" Target="https://www.doctrine.fr/?q=pr%C3%A9somption&amp;source=fichekeywordlink" TargetMode="External"/><Relationship Id="rId134" Type="http://schemas.openxmlformats.org/officeDocument/2006/relationships/hyperlink" Target="https://www.doctrine.fr/?q=d%C3%A9cret&amp;source=fichekeywordlink" TargetMode="External"/><Relationship Id="rId139" Type="http://schemas.openxmlformats.org/officeDocument/2006/relationships/hyperlink" Target="https://www.doctrine.fr/?q=propri%C3%A9t%C3%A9&amp;source=fichekeywordlink" TargetMode="External"/><Relationship Id="rId80" Type="http://schemas.openxmlformats.org/officeDocument/2006/relationships/hyperlink" Target="https://www.doctrine.fr/?q=abandon&amp;source=fichekeywordlink" TargetMode="External"/><Relationship Id="rId85" Type="http://schemas.openxmlformats.org/officeDocument/2006/relationships/hyperlink" Target="https://www.doctrine.fr/?q=%C3%A9tat&amp;source=fichekeywordlink" TargetMode="External"/><Relationship Id="rId150" Type="http://schemas.openxmlformats.org/officeDocument/2006/relationships/hyperlink" Target="https://www.doctrine.fr/?q=immeuble&amp;source=fichekeywordlink" TargetMode="External"/><Relationship Id="rId155" Type="http://schemas.openxmlformats.org/officeDocument/2006/relationships/hyperlink" Target="https://www.doctrine.fr/?q=charge&amp;source=fichekeywordlink" TargetMode="External"/><Relationship Id="rId171" Type="http://schemas.openxmlformats.org/officeDocument/2006/relationships/hyperlink" Target="https://www.doctrine.fr/?q=charge&amp;source=fichekeywordlink" TargetMode="External"/><Relationship Id="rId176" Type="http://schemas.openxmlformats.org/officeDocument/2006/relationships/hyperlink" Target="https://www.doctrine.fr/e/ENT5DDABEF1783A1254C64C?source=decisionPageLink" TargetMode="External"/><Relationship Id="rId192" Type="http://schemas.openxmlformats.org/officeDocument/2006/relationships/hyperlink" Target="https://www.doctrine.fr/?q=instance&amp;source=fichekeywordlink" TargetMode="External"/><Relationship Id="rId197" Type="http://schemas.openxmlformats.org/officeDocument/2006/relationships/hyperlink" Target="https://www.doctrine.fr/?q=astreinte&amp;source=fichekeywordlink" TargetMode="External"/><Relationship Id="rId206" Type="http://schemas.openxmlformats.org/officeDocument/2006/relationships/hyperlink" Target="https://www.doctrine.fr/?q=instance&amp;source=fichekeywordlink" TargetMode="External"/><Relationship Id="rId201" Type="http://schemas.openxmlformats.org/officeDocument/2006/relationships/hyperlink" Target="https://www.doctrine.fr/e/ENT62B3DBB7B1D12B53A919?source=decisionPageLink" TargetMode="External"/><Relationship Id="rId12" Type="http://schemas.openxmlformats.org/officeDocument/2006/relationships/hyperlink" Target="https://www.doctrine.fr/?q=barreau&amp;source=fichekeywordlink" TargetMode="External"/><Relationship Id="rId17" Type="http://schemas.openxmlformats.org/officeDocument/2006/relationships/hyperlink" Target="https://www.doctrine.fr/?q=chambre&amp;source=fichekeywordlink" TargetMode="External"/><Relationship Id="rId33" Type="http://schemas.openxmlformats.org/officeDocument/2006/relationships/hyperlink" Target="https://www.doctrine.fr/?q=commune&amp;source=fichekeywordlink" TargetMode="External"/><Relationship Id="rId38" Type="http://schemas.openxmlformats.org/officeDocument/2006/relationships/hyperlink" Target="https://www.doctrine.fr/e/ENT62B3DBB7B1D12B53A919?source=decisionPageLink" TargetMode="External"/><Relationship Id="rId59" Type="http://schemas.openxmlformats.org/officeDocument/2006/relationships/hyperlink" Target="https://www.doctrine.fr/?q=d%C3%A9cret&amp;source=fichekeywordlink" TargetMode="External"/><Relationship Id="rId103" Type="http://schemas.openxmlformats.org/officeDocument/2006/relationships/hyperlink" Target="https://www.doctrine.fr/?q=rejet&amp;source=fichekeywordlink" TargetMode="External"/><Relationship Id="rId108" Type="http://schemas.openxmlformats.org/officeDocument/2006/relationships/hyperlink" Target="https://www.doctrine.fr/?q=cl%C3%B4ture&amp;source=fichekeywordlink" TargetMode="External"/><Relationship Id="rId124" Type="http://schemas.openxmlformats.org/officeDocument/2006/relationships/hyperlink" Target="https://www.doctrine.fr/?q=d%C3%A9rogatoire&amp;source=fichekeywordlink" TargetMode="External"/><Relationship Id="rId129" Type="http://schemas.openxmlformats.org/officeDocument/2006/relationships/hyperlink" Target="https://www.doctrine.fr/?q=concession&amp;source=fichekeywordlink" TargetMode="External"/><Relationship Id="rId54" Type="http://schemas.openxmlformats.org/officeDocument/2006/relationships/hyperlink" Target="https://www.doctrine.fr/?q=visa&amp;source=fichekeywordlink" TargetMode="External"/><Relationship Id="rId70" Type="http://schemas.openxmlformats.org/officeDocument/2006/relationships/hyperlink" Target="https://www.doctrine.fr/?q=preuve&amp;source=fichekeywordlink" TargetMode="External"/><Relationship Id="rId75" Type="http://schemas.openxmlformats.org/officeDocument/2006/relationships/hyperlink" Target="https://www.doctrine.fr/?q=directoire&amp;source=fichekeywordlink" TargetMode="External"/><Relationship Id="rId91" Type="http://schemas.openxmlformats.org/officeDocument/2006/relationships/hyperlink" Target="https://www.doctrine.fr/?q=proc%C3%A9dure%20civile&amp;source=fichekeywordlink" TargetMode="External"/><Relationship Id="rId96" Type="http://schemas.openxmlformats.org/officeDocument/2006/relationships/hyperlink" Target="https://www.doctrine.fr/?q=conclusions&amp;source=fichekeywordlink" TargetMode="External"/><Relationship Id="rId140" Type="http://schemas.openxmlformats.org/officeDocument/2006/relationships/hyperlink" Target="https://www.doctrine.fr/?q=exception&amp;source=fichekeywordlink" TargetMode="External"/><Relationship Id="rId145" Type="http://schemas.openxmlformats.org/officeDocument/2006/relationships/hyperlink" Target="https://www.doctrine.fr/?q=concession&amp;source=fichekeywordlink" TargetMode="External"/><Relationship Id="rId161" Type="http://schemas.openxmlformats.org/officeDocument/2006/relationships/hyperlink" Target="https://www.doctrine.fr/e/ENT5DDABEF1783A1254C64C?source=decisionPageLink" TargetMode="External"/><Relationship Id="rId166" Type="http://schemas.openxmlformats.org/officeDocument/2006/relationships/hyperlink" Target="https://www.doctrine.fr/?q=commune&amp;source=fichekeywordlink" TargetMode="External"/><Relationship Id="rId182" Type="http://schemas.openxmlformats.org/officeDocument/2006/relationships/hyperlink" Target="https://www.doctrine.fr/?q=titre&amp;source=fichekeywordlink" TargetMode="External"/><Relationship Id="rId187" Type="http://schemas.openxmlformats.org/officeDocument/2006/relationships/hyperlink" Target="https://www.doctrine.fr/?q=d%C3%A9pens&amp;source=fichekeyword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ctrine.fr/?q=barreau&amp;source=fichekeywordlink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doctrine.fr/?q=d%C3%A9bats&amp;source=fichekeywordlink" TargetMode="External"/><Relationship Id="rId28" Type="http://schemas.openxmlformats.org/officeDocument/2006/relationships/hyperlink" Target="https://www.doctrine.fr/?q=proc%C3%A9dure%20civile&amp;source=fichekeywordlink" TargetMode="External"/><Relationship Id="rId49" Type="http://schemas.openxmlformats.org/officeDocument/2006/relationships/hyperlink" Target="https://www.doctrine.fr/?q=d%C3%A9pens&amp;source=fichekeywordlink" TargetMode="External"/><Relationship Id="rId114" Type="http://schemas.openxmlformats.org/officeDocument/2006/relationships/hyperlink" Target="https://www.doctrine.fr/?q=cl%C3%B4ture&amp;source=fichekeywordlink" TargetMode="External"/><Relationship Id="rId119" Type="http://schemas.openxmlformats.org/officeDocument/2006/relationships/hyperlink" Target="https://www.doctrine.fr/?q=constat&amp;source=fichekeywordlink" TargetMode="External"/><Relationship Id="rId44" Type="http://schemas.openxmlformats.org/officeDocument/2006/relationships/hyperlink" Target="https://www.doctrine.fr/?q=instance&amp;source=fichekeywordlink" TargetMode="External"/><Relationship Id="rId60" Type="http://schemas.openxmlformats.org/officeDocument/2006/relationships/hyperlink" Target="https://www.doctrine.fr/?q=concession&amp;source=fichekeywordlink" TargetMode="External"/><Relationship Id="rId65" Type="http://schemas.openxmlformats.org/officeDocument/2006/relationships/hyperlink" Target="https://www.doctrine.fr/?q=d%C3%A9lai&amp;source=fichekeywordlink" TargetMode="External"/><Relationship Id="rId81" Type="http://schemas.openxmlformats.org/officeDocument/2006/relationships/hyperlink" Target="https://www.doctrine.fr/?q=unilat%C3%A9ral&amp;source=fichekeywordlink" TargetMode="External"/><Relationship Id="rId86" Type="http://schemas.openxmlformats.org/officeDocument/2006/relationships/hyperlink" Target="https://www.doctrine.fr/?q=cause&amp;source=fichekeywordlink" TargetMode="External"/><Relationship Id="rId130" Type="http://schemas.openxmlformats.org/officeDocument/2006/relationships/hyperlink" Target="https://www.doctrine.fr/?q=pr%C3%A9somption&amp;source=fichekeywordlink" TargetMode="External"/><Relationship Id="rId135" Type="http://schemas.openxmlformats.org/officeDocument/2006/relationships/hyperlink" Target="https://www.doctrine.fr/?q=loi&amp;source=fichekeywordlink" TargetMode="External"/><Relationship Id="rId151" Type="http://schemas.openxmlformats.org/officeDocument/2006/relationships/hyperlink" Target="https://www.doctrine.fr/?q=redevance&amp;source=fichekeywordlink" TargetMode="External"/><Relationship Id="rId156" Type="http://schemas.openxmlformats.org/officeDocument/2006/relationships/hyperlink" Target="https://www.doctrine.fr/?q=preuve&amp;source=fichekeywordlink" TargetMode="External"/><Relationship Id="rId177" Type="http://schemas.openxmlformats.org/officeDocument/2006/relationships/hyperlink" Target="https://www.doctrine.fr/?q=dispositif&amp;source=fichekeywordlink" TargetMode="External"/><Relationship Id="rId198" Type="http://schemas.openxmlformats.org/officeDocument/2006/relationships/hyperlink" Target="https://www.doctrine.fr/?q=provisoire&amp;source=fichekeywordlink" TargetMode="External"/><Relationship Id="rId172" Type="http://schemas.openxmlformats.org/officeDocument/2006/relationships/hyperlink" Target="https://www.doctrine.fr/?q=immeuble&amp;source=fichekeywordlink" TargetMode="External"/><Relationship Id="rId193" Type="http://schemas.openxmlformats.org/officeDocument/2006/relationships/hyperlink" Target="https://www.doctrine.fr/e/ENT5DDABEF1783A1254C64C?source=decisionPageLink" TargetMode="External"/><Relationship Id="rId202" Type="http://schemas.openxmlformats.org/officeDocument/2006/relationships/hyperlink" Target="https://www.doctrine.fr/l/LEGIARTI000028424729?source=legilink&amp;origin=CCAA08CD520EF58C37B33" TargetMode="External"/><Relationship Id="rId207" Type="http://schemas.openxmlformats.org/officeDocument/2006/relationships/hyperlink" Target="https://www.doctrine.fr/?q=appel&amp;source=fichekeywordlink" TargetMode="External"/><Relationship Id="rId13" Type="http://schemas.openxmlformats.org/officeDocument/2006/relationships/hyperlink" Target="https://www.doctrine.fr/?q=audience&amp;source=fichekeywordlink" TargetMode="External"/><Relationship Id="rId18" Type="http://schemas.openxmlformats.org/officeDocument/2006/relationships/hyperlink" Target="https://www.doctrine.fr/?q=d%C3%A9lib%C3%A9r%C3%A9&amp;source=fichekeywordlink" TargetMode="External"/><Relationship Id="rId39" Type="http://schemas.openxmlformats.org/officeDocument/2006/relationships/hyperlink" Target="https://www.doctrine.fr/?q=partie&amp;source=fichekeywordlink" TargetMode="External"/><Relationship Id="rId109" Type="http://schemas.openxmlformats.org/officeDocument/2006/relationships/hyperlink" Target="https://www.doctrine.fr/?q=audience&amp;source=fichekeywordlink" TargetMode="External"/><Relationship Id="rId34" Type="http://schemas.openxmlformats.org/officeDocument/2006/relationships/hyperlink" Target="https://www.doctrine.fr/?q=distribution&amp;source=fichekeywordlink" TargetMode="External"/><Relationship Id="rId50" Type="http://schemas.openxmlformats.org/officeDocument/2006/relationships/hyperlink" Target="https://www.doctrine.fr/?q=soci%C3%A9t%C3%A9%20anonyme&amp;source=fichekeywordlink" TargetMode="External"/><Relationship Id="rId55" Type="http://schemas.openxmlformats.org/officeDocument/2006/relationships/hyperlink" Target="https://www.doctrine.fr/l/LEGIARTI000023986516?source=legilink&amp;origin=CCAA08CD520EF58C37B33" TargetMode="External"/><Relationship Id="rId76" Type="http://schemas.openxmlformats.org/officeDocument/2006/relationships/hyperlink" Target="https://www.doctrine.fr/?q=abandon&amp;source=fichekeywordlink" TargetMode="External"/><Relationship Id="rId97" Type="http://schemas.openxmlformats.org/officeDocument/2006/relationships/hyperlink" Target="https://www.doctrine.fr/e/ENT5DDABEF1783A1254C64C?source=decisionPageLink" TargetMode="External"/><Relationship Id="rId104" Type="http://schemas.openxmlformats.org/officeDocument/2006/relationships/hyperlink" Target="https://www.doctrine.fr/?q=paiement&amp;source=fichekeywordlink" TargetMode="External"/><Relationship Id="rId120" Type="http://schemas.openxmlformats.org/officeDocument/2006/relationships/hyperlink" Target="https://www.doctrine.fr/?q=huissier&amp;source=fichekeywordlink" TargetMode="External"/><Relationship Id="rId125" Type="http://schemas.openxmlformats.org/officeDocument/2006/relationships/hyperlink" Target="https://www.doctrine.fr/e/ENT5DDABEF1783A1254C64C?source=decisionPageLink" TargetMode="External"/><Relationship Id="rId141" Type="http://schemas.openxmlformats.org/officeDocument/2006/relationships/hyperlink" Target="https://www.doctrine.fr/?q=immeuble&amp;source=fichekeywordlink" TargetMode="External"/><Relationship Id="rId146" Type="http://schemas.openxmlformats.org/officeDocument/2006/relationships/hyperlink" Target="https://www.doctrine.fr/?q=propri%C3%A9t%C3%A9&amp;source=fichekeywordlink" TargetMode="External"/><Relationship Id="rId167" Type="http://schemas.openxmlformats.org/officeDocument/2006/relationships/hyperlink" Target="https://www.doctrine.fr/?q=distribution&amp;source=fichekeywordlink" TargetMode="External"/><Relationship Id="rId188" Type="http://schemas.openxmlformats.org/officeDocument/2006/relationships/hyperlink" Target="https://www.doctrine.fr/?q=instance&amp;source=fichekeywordlink" TargetMode="External"/><Relationship Id="rId7" Type="http://schemas.openxmlformats.org/officeDocument/2006/relationships/hyperlink" Target="https://www.doctrine.fr/?q=audience&amp;source=fichekeywordlink" TargetMode="External"/><Relationship Id="rId71" Type="http://schemas.openxmlformats.org/officeDocument/2006/relationships/hyperlink" Target="https://www.doctrine.fr/?q=propri%C3%A9t%C3%A9&amp;source=fichekeywordlink" TargetMode="External"/><Relationship Id="rId92" Type="http://schemas.openxmlformats.org/officeDocument/2006/relationships/hyperlink" Target="https://www.doctrine.fr/?q=d%C3%A9pens&amp;source=fichekeywordlink" TargetMode="External"/><Relationship Id="rId162" Type="http://schemas.openxmlformats.org/officeDocument/2006/relationships/hyperlink" Target="https://www.doctrine.fr/?q=preuve&amp;source=fichekeywordlink" TargetMode="External"/><Relationship Id="rId183" Type="http://schemas.openxmlformats.org/officeDocument/2006/relationships/hyperlink" Target="https://www.doctrine.fr/?q=subsidiaire&amp;source=fichekeywordlin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doctrine.fr/?q=chambre&amp;source=fichekeywordlink" TargetMode="External"/><Relationship Id="rId24" Type="http://schemas.openxmlformats.org/officeDocument/2006/relationships/hyperlink" Target="https://www.doctrine.fr/?q=contradictoire&amp;source=fichekeywordlink" TargetMode="External"/><Relationship Id="rId40" Type="http://schemas.openxmlformats.org/officeDocument/2006/relationships/hyperlink" Target="https://www.doctrine.fr/?q=concession&amp;source=fichekeywordlink" TargetMode="External"/><Relationship Id="rId45" Type="http://schemas.openxmlformats.org/officeDocument/2006/relationships/hyperlink" Target="https://www.doctrine.fr/e/ENT5DDABEF1783A1254C64C?source=decisionPageLink" TargetMode="External"/><Relationship Id="rId66" Type="http://schemas.openxmlformats.org/officeDocument/2006/relationships/hyperlink" Target="https://www.doctrine.fr/?q=astreinte&amp;source=fichekeywordlink" TargetMode="External"/><Relationship Id="rId87" Type="http://schemas.openxmlformats.org/officeDocument/2006/relationships/hyperlink" Target="https://www.doctrine.fr/e/ENT62B3DBB7B1D12B53A919?source=decisionPageLink" TargetMode="External"/><Relationship Id="rId110" Type="http://schemas.openxmlformats.org/officeDocument/2006/relationships/hyperlink" Target="https://www.doctrine.fr/?q=mise%20en%20%C3%A9tat&amp;source=fichekeywordlink" TargetMode="External"/><Relationship Id="rId115" Type="http://schemas.openxmlformats.org/officeDocument/2006/relationships/hyperlink" Target="https://www.doctrine.fr/?q=titre&amp;source=fichekeywordlink" TargetMode="External"/><Relationship Id="rId131" Type="http://schemas.openxmlformats.org/officeDocument/2006/relationships/hyperlink" Target="https://www.doctrine.fr/?q=abandon&amp;source=fichekeywordlink" TargetMode="External"/><Relationship Id="rId136" Type="http://schemas.openxmlformats.org/officeDocument/2006/relationships/hyperlink" Target="https://www.doctrine.fr/?q=publication&amp;source=fichekeywordlink" TargetMode="External"/><Relationship Id="rId157" Type="http://schemas.openxmlformats.org/officeDocument/2006/relationships/hyperlink" Target="https://www.doctrine.fr/?q=concession&amp;source=fichekeywordlink" TargetMode="External"/><Relationship Id="rId178" Type="http://schemas.openxmlformats.org/officeDocument/2006/relationships/hyperlink" Target="https://www.doctrine.fr/l/LEGIARTI000025025719?source=legilink&amp;origin=CCAA08CD520EF58C37B33" TargetMode="External"/><Relationship Id="rId61" Type="http://schemas.openxmlformats.org/officeDocument/2006/relationships/hyperlink" Target="https://www.doctrine.fr/?q=infirmer&amp;source=fichekeywordlink" TargetMode="External"/><Relationship Id="rId82" Type="http://schemas.openxmlformats.org/officeDocument/2006/relationships/hyperlink" Target="https://www.doctrine.fr/?q=contrat%20de%20concession&amp;source=fichekeywordlink" TargetMode="External"/><Relationship Id="rId152" Type="http://schemas.openxmlformats.org/officeDocument/2006/relationships/hyperlink" Target="https://www.doctrine.fr/?q=exception&amp;source=fichekeywordlink" TargetMode="External"/><Relationship Id="rId173" Type="http://schemas.openxmlformats.org/officeDocument/2006/relationships/hyperlink" Target="https://www.doctrine.fr/e/ENT5DDABEF1783A1254C64C?source=decisionPageLink" TargetMode="External"/><Relationship Id="rId194" Type="http://schemas.openxmlformats.org/officeDocument/2006/relationships/hyperlink" Target="https://www.doctrine.fr/?q=signification&amp;source=fichekeywordlink" TargetMode="External"/><Relationship Id="rId199" Type="http://schemas.openxmlformats.org/officeDocument/2006/relationships/hyperlink" Target="https://www.doctrine.fr/e/ENT5DDABEF1783A1254C64C?source=decisionPageLink" TargetMode="External"/><Relationship Id="rId203" Type="http://schemas.openxmlformats.org/officeDocument/2006/relationships/hyperlink" Target="https://www.doctrine.fr/?q=code&amp;source=fichekeywordlink" TargetMode="External"/><Relationship Id="rId208" Type="http://schemas.openxmlformats.org/officeDocument/2006/relationships/hyperlink" Target="https://www.doctrine.fr/l/LEGIARTI000025820558?source=legilink&amp;origin=CCAA08CD520EF58C37B33" TargetMode="External"/><Relationship Id="rId19" Type="http://schemas.openxmlformats.org/officeDocument/2006/relationships/hyperlink" Target="https://www.doctrine.fr/?q=audience&amp;source=fichekeywordlink" TargetMode="External"/><Relationship Id="rId14" Type="http://schemas.openxmlformats.org/officeDocument/2006/relationships/hyperlink" Target="https://www.doctrine.fr/p/avocat/LFDEDB00294D023498D2E?source=decisionPageLink" TargetMode="External"/><Relationship Id="rId30" Type="http://schemas.openxmlformats.org/officeDocument/2006/relationships/hyperlink" Target="https://www.doctrine.fr/?q=signature&amp;source=fichekeywordlink" TargetMode="External"/><Relationship Id="rId35" Type="http://schemas.openxmlformats.org/officeDocument/2006/relationships/hyperlink" Target="https://www.doctrine.fr/?q=distribution&amp;source=fichekeywordlink" TargetMode="External"/><Relationship Id="rId56" Type="http://schemas.openxmlformats.org/officeDocument/2006/relationships/hyperlink" Target="https://www.doctrine.fr/l/LEGIARTI000031063261?source=legilink&amp;origin=CCAA08CD520EF58C37B33" TargetMode="External"/><Relationship Id="rId77" Type="http://schemas.openxmlformats.org/officeDocument/2006/relationships/hyperlink" Target="https://www.doctrine.fr/e/ENT5DDABEF1783A1254C64C?source=decisionPageLink" TargetMode="External"/><Relationship Id="rId100" Type="http://schemas.openxmlformats.org/officeDocument/2006/relationships/hyperlink" Target="https://www.doctrine.fr/?q=abandon&amp;source=fichekeywordlink" TargetMode="External"/><Relationship Id="rId105" Type="http://schemas.openxmlformats.org/officeDocument/2006/relationships/hyperlink" Target="https://www.doctrine.fr/?q=d%C3%A9pens&amp;source=fichekeywordlink" TargetMode="External"/><Relationship Id="rId126" Type="http://schemas.openxmlformats.org/officeDocument/2006/relationships/hyperlink" Target="https://www.doctrine.fr/?q=immeuble&amp;source=fichekeywordlink" TargetMode="External"/><Relationship Id="rId147" Type="http://schemas.openxmlformats.org/officeDocument/2006/relationships/hyperlink" Target="https://www.doctrine.fr/?q=pouvoir&amp;source=fichekeywordlink" TargetMode="External"/><Relationship Id="rId168" Type="http://schemas.openxmlformats.org/officeDocument/2006/relationships/hyperlink" Target="https://www.doctrine.fr/?q=partie&amp;source=fichekeywordlink" TargetMode="External"/><Relationship Id="rId8" Type="http://schemas.openxmlformats.org/officeDocument/2006/relationships/hyperlink" Target="https://www.doctrine.fr/?q=barreau&amp;source=fichekeywordlink" TargetMode="External"/><Relationship Id="rId51" Type="http://schemas.openxmlformats.org/officeDocument/2006/relationships/hyperlink" Target="https://www.doctrine.fr/e/ENT62B3DBB7B1D12B53A919?source=decisionPageLink" TargetMode="External"/><Relationship Id="rId72" Type="http://schemas.openxmlformats.org/officeDocument/2006/relationships/hyperlink" Target="https://www.doctrine.fr/?q=titre&amp;source=fichekeywordlink" TargetMode="External"/><Relationship Id="rId93" Type="http://schemas.openxmlformats.org/officeDocument/2006/relationships/hyperlink" Target="https://www.doctrine.fr/l/LEGIARTI000025820558?source=legilink&amp;origin=CCAA08CD520EF58C37B33" TargetMode="External"/><Relationship Id="rId98" Type="http://schemas.openxmlformats.org/officeDocument/2006/relationships/hyperlink" Target="https://www.doctrine.fr/?q=irrecevabilit%C3%A9&amp;source=fichekeywordlink" TargetMode="External"/><Relationship Id="rId121" Type="http://schemas.openxmlformats.org/officeDocument/2006/relationships/hyperlink" Target="https://www.doctrine.fr/?q=pr%C3%A9somption&amp;source=fichekeywordlink" TargetMode="External"/><Relationship Id="rId142" Type="http://schemas.openxmlformats.org/officeDocument/2006/relationships/hyperlink" Target="https://www.doctrine.fr/?q=redevance&amp;source=fichekeywordlink" TargetMode="External"/><Relationship Id="rId163" Type="http://schemas.openxmlformats.org/officeDocument/2006/relationships/hyperlink" Target="https://www.doctrine.fr/?q=contrat%20de%20concession&amp;source=fichekeywordlink" TargetMode="External"/><Relationship Id="rId184" Type="http://schemas.openxmlformats.org/officeDocument/2006/relationships/hyperlink" Target="https://www.doctrine.fr/?q=recevabilit%C3%A9&amp;source=fichekeywordlink" TargetMode="External"/><Relationship Id="rId189" Type="http://schemas.openxmlformats.org/officeDocument/2006/relationships/hyperlink" Target="https://www.doctrine.fr/?q=appel&amp;source=fichekeywordlin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octrine.fr/?q=arr%C3%AAt&amp;source=fichekeywordlink" TargetMode="External"/><Relationship Id="rId46" Type="http://schemas.openxmlformats.org/officeDocument/2006/relationships/hyperlink" Target="https://www.doctrine.fr/l/LEGIARTI000028424729?source=legilink&amp;origin=CCAA08CD520EF58C37B33" TargetMode="External"/><Relationship Id="rId67" Type="http://schemas.openxmlformats.org/officeDocument/2006/relationships/hyperlink" Target="https://www.doctrine.fr/?q=titre&amp;source=fichekeywordlink" TargetMode="External"/><Relationship Id="rId116" Type="http://schemas.openxmlformats.org/officeDocument/2006/relationships/hyperlink" Target="https://www.doctrine.fr/?q=principal&amp;source=fichekeywordlink" TargetMode="External"/><Relationship Id="rId137" Type="http://schemas.openxmlformats.org/officeDocument/2006/relationships/hyperlink" Target="https://www.doctrine.fr/?q=d%C3%A9cret&amp;source=fichekeywordlink" TargetMode="External"/><Relationship Id="rId158" Type="http://schemas.openxmlformats.org/officeDocument/2006/relationships/hyperlink" Target="https://www.doctrine.fr/?q=distribution&amp;source=fichekeywordlink" TargetMode="External"/><Relationship Id="rId20" Type="http://schemas.openxmlformats.org/officeDocument/2006/relationships/hyperlink" Target="https://www.doctrine.fr/l/LEGIARTI000006411259?source=legilink&amp;origin=CCAA08CD520EF58C37B33" TargetMode="External"/><Relationship Id="rId41" Type="http://schemas.openxmlformats.org/officeDocument/2006/relationships/hyperlink" Target="https://www.doctrine.fr/?q=copropri%C3%A9t%C3%A9&amp;source=fichekeywordlink" TargetMode="External"/><Relationship Id="rId62" Type="http://schemas.openxmlformats.org/officeDocument/2006/relationships/hyperlink" Target="https://www.doctrine.fr/e/ENT5DDABEF1783A1254C64C?source=decisionPageLink" TargetMode="External"/><Relationship Id="rId83" Type="http://schemas.openxmlformats.org/officeDocument/2006/relationships/hyperlink" Target="https://www.doctrine.fr/?q=condition&amp;source=fichekeywordlink" TargetMode="External"/><Relationship Id="rId88" Type="http://schemas.openxmlformats.org/officeDocument/2006/relationships/hyperlink" Target="https://www.doctrine.fr/?q=allocation&amp;source=fichekeywordlink" TargetMode="External"/><Relationship Id="rId111" Type="http://schemas.openxmlformats.org/officeDocument/2006/relationships/hyperlink" Target="https://www.doctrine.fr/?q=faute&amp;source=fichekeywordlink" TargetMode="External"/><Relationship Id="rId132" Type="http://schemas.openxmlformats.org/officeDocument/2006/relationships/hyperlink" Target="https://www.doctrine.fr/?q=d%C3%A9cret&amp;source=fichekeywordlink" TargetMode="External"/><Relationship Id="rId153" Type="http://schemas.openxmlformats.org/officeDocument/2006/relationships/hyperlink" Target="https://www.doctrine.fr/?q=propri%C3%A9t%C3%A9&amp;source=fichekeywordlink" TargetMode="External"/><Relationship Id="rId174" Type="http://schemas.openxmlformats.org/officeDocument/2006/relationships/hyperlink" Target="https://www.doctrine.fr/?q=preuve&amp;source=fichekeywordlink" TargetMode="External"/><Relationship Id="rId179" Type="http://schemas.openxmlformats.org/officeDocument/2006/relationships/hyperlink" Target="https://www.doctrine.fr/?q=code&amp;source=fichekeywordlink" TargetMode="External"/><Relationship Id="rId195" Type="http://schemas.openxmlformats.org/officeDocument/2006/relationships/hyperlink" Target="https://www.doctrine.fr/?q=arr%C3%AAt&amp;source=fichekeywordlink" TargetMode="External"/><Relationship Id="rId209" Type="http://schemas.openxmlformats.org/officeDocument/2006/relationships/hyperlink" Target="https://www.doctrine.fr/?q=code&amp;source=fichekeywordlink" TargetMode="External"/><Relationship Id="rId190" Type="http://schemas.openxmlformats.org/officeDocument/2006/relationships/hyperlink" Target="https://www.doctrine.fr/?q=frais%20irr%C3%A9p%C3%A9tibles&amp;source=fichekeywordlink" TargetMode="External"/><Relationship Id="rId204" Type="http://schemas.openxmlformats.org/officeDocument/2006/relationships/hyperlink" Target="https://www.doctrine.fr/?q=proc%C3%A9dure%20civile&amp;source=fichekeywordlink" TargetMode="External"/><Relationship Id="rId15" Type="http://schemas.openxmlformats.org/officeDocument/2006/relationships/hyperlink" Target="https://www.doctrine.fr/?q=barreau&amp;source=fichekeywordlink" TargetMode="External"/><Relationship Id="rId36" Type="http://schemas.openxmlformats.org/officeDocument/2006/relationships/hyperlink" Target="https://www.doctrine.fr/e/ENT5DDABEF1783A1254C64C?source=decisionPageLink" TargetMode="External"/><Relationship Id="rId57" Type="http://schemas.openxmlformats.org/officeDocument/2006/relationships/hyperlink" Target="https://www.doctrine.fr/?q=code&amp;source=fichekeywordlink" TargetMode="External"/><Relationship Id="rId106" Type="http://schemas.openxmlformats.org/officeDocument/2006/relationships/hyperlink" Target="https://www.doctrine.fr/?q=cl%C3%B4ture&amp;source=fichekeywordlink" TargetMode="External"/><Relationship Id="rId127" Type="http://schemas.openxmlformats.org/officeDocument/2006/relationships/hyperlink" Target="https://www.doctrine.fr/?q=propri%C3%A9t%C3%A9&amp;source=fichekeywordlink" TargetMode="External"/><Relationship Id="rId10" Type="http://schemas.openxmlformats.org/officeDocument/2006/relationships/hyperlink" Target="https://www.doctrine.fr/p/avocat/LCED886FF6ABD1A14A3DC?source=decisionPageLink" TargetMode="External"/><Relationship Id="rId31" Type="http://schemas.openxmlformats.org/officeDocument/2006/relationships/hyperlink" Target="https://www.doctrine.fr/l/LEGIARTI000006824992?source=legilink&amp;origin=CCAA08CD520EF58C37B33" TargetMode="External"/><Relationship Id="rId52" Type="http://schemas.openxmlformats.org/officeDocument/2006/relationships/hyperlink" Target="https://www.doctrine.fr/?q=appel&amp;source=fichekeywordlink" TargetMode="External"/><Relationship Id="rId73" Type="http://schemas.openxmlformats.org/officeDocument/2006/relationships/hyperlink" Target="https://www.doctrine.fr/?q=subsidiaire&amp;source=fichekeywordlink" TargetMode="External"/><Relationship Id="rId78" Type="http://schemas.openxmlformats.org/officeDocument/2006/relationships/hyperlink" Target="https://www.doctrine.fr/?q=distribution&amp;source=fichekeywordlink" TargetMode="External"/><Relationship Id="rId94" Type="http://schemas.openxmlformats.org/officeDocument/2006/relationships/hyperlink" Target="https://www.doctrine.fr/?q=code&amp;source=fichekeywordlink" TargetMode="External"/><Relationship Id="rId99" Type="http://schemas.openxmlformats.org/officeDocument/2006/relationships/hyperlink" Target="https://www.doctrine.fr/?q=constat&amp;source=fichekeywordlink" TargetMode="External"/><Relationship Id="rId101" Type="http://schemas.openxmlformats.org/officeDocument/2006/relationships/hyperlink" Target="https://www.doctrine.fr/e/ENT62B3DBB7B1D12B53A919?source=decisionPageLink" TargetMode="External"/><Relationship Id="rId122" Type="http://schemas.openxmlformats.org/officeDocument/2006/relationships/hyperlink" Target="https://www.doctrine.fr/?q=d%C3%A9cret&amp;source=fichekeywordlink" TargetMode="External"/><Relationship Id="rId143" Type="http://schemas.openxmlformats.org/officeDocument/2006/relationships/hyperlink" Target="https://www.doctrine.fr/?q=distribution&amp;source=fichekeywordlink" TargetMode="External"/><Relationship Id="rId148" Type="http://schemas.openxmlformats.org/officeDocument/2006/relationships/hyperlink" Target="https://www.doctrine.fr/?q=int%C3%A9r%C3%AAt&amp;source=fichekeywordlink" TargetMode="External"/><Relationship Id="rId164" Type="http://schemas.openxmlformats.org/officeDocument/2006/relationships/hyperlink" Target="https://www.doctrine.fr/?q=syndicat&amp;source=fichekeywordlink" TargetMode="External"/><Relationship Id="rId169" Type="http://schemas.openxmlformats.org/officeDocument/2006/relationships/hyperlink" Target="https://www.doctrine.fr/?q=immeuble&amp;source=fichekeywordlink" TargetMode="External"/><Relationship Id="rId185" Type="http://schemas.openxmlformats.org/officeDocument/2006/relationships/hyperlink" Target="https://www.doctrine.fr/e/ENT5DDABEF1783A1254C64C?source=decisionPag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trine.fr/e/ENT5DDABEF1783A1254C64C?source=decisionPageLink" TargetMode="External"/><Relationship Id="rId180" Type="http://schemas.openxmlformats.org/officeDocument/2006/relationships/hyperlink" Target="https://www.doctrine.fr/?q=astreinte&amp;source=fichekeywordlink" TargetMode="External"/><Relationship Id="rId210" Type="http://schemas.openxmlformats.org/officeDocument/2006/relationships/hyperlink" Target="https://www.doctrine.fr/?q=proc%C3%A9dure%20civile&amp;source=fichekeywordlink" TargetMode="External"/><Relationship Id="rId26" Type="http://schemas.openxmlformats.org/officeDocument/2006/relationships/hyperlink" Target="https://www.doctrine.fr/l/LEGIARTI000006410693?source=legilink&amp;origin=CCAA08CD520EF58C37B33" TargetMode="External"/><Relationship Id="rId47" Type="http://schemas.openxmlformats.org/officeDocument/2006/relationships/hyperlink" Target="https://www.doctrine.fr/?q=code&amp;source=fichekeywordlink" TargetMode="External"/><Relationship Id="rId68" Type="http://schemas.openxmlformats.org/officeDocument/2006/relationships/hyperlink" Target="https://www.doctrine.fr/?q=principal&amp;source=fichekeywordlink" TargetMode="External"/><Relationship Id="rId89" Type="http://schemas.openxmlformats.org/officeDocument/2006/relationships/hyperlink" Target="https://www.doctrine.fr/l/LEGIARTI000028424729?source=legilink&amp;origin=CCAA08CD520EF58C37B33" TargetMode="External"/><Relationship Id="rId112" Type="http://schemas.openxmlformats.org/officeDocument/2006/relationships/hyperlink" Target="https://www.doctrine.fr/?q=r%C3%A9vocation&amp;source=fichekeywordlink" TargetMode="External"/><Relationship Id="rId133" Type="http://schemas.openxmlformats.org/officeDocument/2006/relationships/hyperlink" Target="https://www.doctrine.fr/?q=loi&amp;source=fichekeywordlink" TargetMode="External"/><Relationship Id="rId154" Type="http://schemas.openxmlformats.org/officeDocument/2006/relationships/hyperlink" Target="https://www.doctrine.fr/?q=installation&amp;source=fichekeywordlink" TargetMode="External"/><Relationship Id="rId175" Type="http://schemas.openxmlformats.org/officeDocument/2006/relationships/hyperlink" Target="https://www.doctrine.fr/?q=%C3%A9tat&amp;source=fichekeywordlink" TargetMode="External"/><Relationship Id="rId196" Type="http://schemas.openxmlformats.org/officeDocument/2006/relationships/hyperlink" Target="https://www.doctrine.fr/?q=d%C3%A9lai&amp;source=fichekeywordlink" TargetMode="External"/><Relationship Id="rId200" Type="http://schemas.openxmlformats.org/officeDocument/2006/relationships/hyperlink" Target="https://www.doctrine.fr/?q=soci%C3%A9t%C3%A9%20anonyme&amp;source=fichekeywordlink" TargetMode="External"/><Relationship Id="rId16" Type="http://schemas.openxmlformats.org/officeDocument/2006/relationships/hyperlink" Target="https://www.doctrine.fr/?q=audience&amp;source=fichekeyword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4588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DE REGULATION DE L'ENERGIE</Company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Sablière Pierre</dc:creator>
  <cp:lastModifiedBy>Sablière Pierre</cp:lastModifiedBy>
  <cp:revision>2</cp:revision>
  <dcterms:created xsi:type="dcterms:W3CDTF">2019-02-20T10:36:00Z</dcterms:created>
  <dcterms:modified xsi:type="dcterms:W3CDTF">2019-02-20T12:08:00Z</dcterms:modified>
</cp:coreProperties>
</file>