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59EC">
        <w:rPr>
          <w:rFonts w:ascii="Times New Roman" w:hAnsi="Times New Roman" w:cs="Times New Roman"/>
          <w:sz w:val="24"/>
          <w:szCs w:val="24"/>
        </w:rPr>
        <w:t>COUR D’APPEL DE GRENOBLE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1ERE CHAMBRE CIVILE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ARRÊT DU MARDI 29 JANVIER 2019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Appel d’un Jugement (N° R.G. 14/04052)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rendu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par le Tribunal de Grande Instance de VALENCE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date du 03 janvier 2017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suivant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déclaration d’</w:t>
      </w:r>
      <w:hyperlink r:id="rId5" w:history="1">
        <w:r w:rsidRPr="004A59EC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17 Février 2017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APPELANTE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L’</w:t>
      </w:r>
      <w:hyperlink r:id="rId6" w:history="1">
        <w:r w:rsidRPr="004A59EC">
          <w:rPr>
            <w:rFonts w:ascii="Times New Roman" w:hAnsi="Times New Roman" w:cs="Times New Roman"/>
            <w:sz w:val="24"/>
            <w:szCs w:val="24"/>
          </w:rPr>
          <w:t>ÉTABLISSEMENT PUBLIC OPH DROME AMENAGEMENT HABITAT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prise en la personne de son représentant légal domicilié en cette qualité audit siège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[…]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[…]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représenté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et plaidant par Me </w:t>
      </w:r>
      <w:hyperlink r:id="rId7" w:history="1">
        <w:r w:rsidRPr="004A59EC">
          <w:rPr>
            <w:rFonts w:ascii="Times New Roman" w:hAnsi="Times New Roman" w:cs="Times New Roman"/>
            <w:sz w:val="24"/>
            <w:szCs w:val="24"/>
          </w:rPr>
          <w:t>Gérard ANCEAU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avocat au </w:t>
      </w:r>
      <w:hyperlink r:id="rId8" w:history="1">
        <w:r w:rsidRPr="004A59EC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VALENCE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INTIMÉE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LA SOCIÉTÉ </w:t>
      </w:r>
      <w:hyperlink r:id="rId9" w:history="1"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(anciennement dénommée Y) prise en la personne de son représentant légal domicilié en cette qualité audit siège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[…]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[…]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représentée par Me </w:t>
      </w:r>
      <w:hyperlink r:id="rId10" w:history="1">
        <w:r w:rsidRPr="004A59EC">
          <w:rPr>
            <w:rFonts w:ascii="Times New Roman" w:hAnsi="Times New Roman" w:cs="Times New Roman"/>
            <w:sz w:val="24"/>
            <w:szCs w:val="24"/>
          </w:rPr>
          <w:t>Isabelle CARRET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SCP DUNNER-</w:t>
      </w:r>
      <w:hyperlink r:id="rId11" w:history="1">
        <w:r w:rsidRPr="004A59EC">
          <w:rPr>
            <w:rFonts w:ascii="Times New Roman" w:hAnsi="Times New Roman" w:cs="Times New Roman"/>
            <w:sz w:val="24"/>
            <w:szCs w:val="24"/>
          </w:rPr>
          <w:t>CARRET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- DUCHATEL- ESCALLIER, avocat au </w:t>
      </w:r>
      <w:hyperlink r:id="rId12" w:history="1">
        <w:r w:rsidRPr="004A59EC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GRENOBLE postulant et plaidant par Me </w:t>
      </w:r>
      <w:hyperlink r:id="rId13" w:history="1">
        <w:r w:rsidRPr="004A59EC">
          <w:rPr>
            <w:rFonts w:ascii="Times New Roman" w:hAnsi="Times New Roman" w:cs="Times New Roman"/>
            <w:sz w:val="24"/>
            <w:szCs w:val="24"/>
          </w:rPr>
          <w:t>Michel RIVA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avocat au </w:t>
      </w:r>
      <w:hyperlink r:id="rId14" w:history="1">
        <w:r w:rsidRPr="004A59EC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LYON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COMPOSITION DE LA COUR : LORS DES DÉBATS ET DU DÉLIBÉRÉ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Madame Hélène COMBES, Président de </w:t>
      </w:r>
      <w:hyperlink r:id="rId15" w:history="1">
        <w:r w:rsidRPr="004A59EC">
          <w:rPr>
            <w:rFonts w:ascii="Times New Roman" w:hAnsi="Times New Roman" w:cs="Times New Roman"/>
            <w:sz w:val="24"/>
            <w:szCs w:val="24"/>
          </w:rPr>
          <w:t>chambre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Madame Dominique X, Conseiller,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Madame Joëlle BLATRY, Conseiller,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Assistées lors des </w:t>
      </w:r>
      <w:hyperlink r:id="rId16" w:history="1">
        <w:r w:rsidRPr="004A59EC">
          <w:rPr>
            <w:rFonts w:ascii="Times New Roman" w:hAnsi="Times New Roman" w:cs="Times New Roman"/>
            <w:sz w:val="24"/>
            <w:szCs w:val="24"/>
          </w:rPr>
          <w:t>débats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Madame Anne BUREL, Greffier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DEBATS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A l’</w:t>
      </w:r>
      <w:hyperlink r:id="rId17" w:history="1">
        <w:r w:rsidRPr="004A59EC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du 17 décembre 2018, Madame X a été entendue en son rapport.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Les avocats ont été entendus en leurs </w:t>
      </w:r>
      <w:hyperlink r:id="rId18" w:history="1">
        <w:r w:rsidRPr="004A59EC">
          <w:rPr>
            <w:rFonts w:ascii="Times New Roman" w:hAnsi="Times New Roman" w:cs="Times New Roman"/>
            <w:sz w:val="24"/>
            <w:szCs w:val="24"/>
          </w:rPr>
          <w:t>observations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Et l’affaire a été mise en </w:t>
      </w:r>
      <w:hyperlink r:id="rId19" w:history="1">
        <w:r w:rsidRPr="004A59EC">
          <w:rPr>
            <w:rFonts w:ascii="Times New Roman" w:hAnsi="Times New Roman" w:cs="Times New Roman"/>
            <w:sz w:val="24"/>
            <w:szCs w:val="24"/>
          </w:rPr>
          <w:t>délibéré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à la date de ce jour à laquelle l’</w:t>
      </w:r>
      <w:hyperlink r:id="rId20" w:history="1">
        <w:r w:rsidRPr="004A59EC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a été rendu.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EXPOSE DU LITIGE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Le 6 juillet 2004, l’OPH Drôme Aménagement Habitat a acquis un </w:t>
      </w:r>
      <w:hyperlink r:id="rId21" w:history="1">
        <w:r w:rsidRPr="004A59EC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situé à Montélimar, comprenant cinq bâtiments édifiés dans les années 1960.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A l’occasion de l’</w:t>
      </w:r>
      <w:hyperlink r:id="rId22" w:history="1">
        <w:r w:rsidRPr="004A59EC">
          <w:rPr>
            <w:rFonts w:ascii="Times New Roman" w:hAnsi="Times New Roman" w:cs="Times New Roman"/>
            <w:sz w:val="24"/>
            <w:szCs w:val="24"/>
          </w:rPr>
          <w:t>intervention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d’un agent Y en mai 2011, il est apparu que la colonne montante située dans le bâtiment B de 8 étages, non soumis au </w:t>
      </w:r>
      <w:hyperlink r:id="rId23" w:history="1">
        <w:r w:rsidRPr="004A59EC">
          <w:rPr>
            <w:rFonts w:ascii="Times New Roman" w:hAnsi="Times New Roman" w:cs="Times New Roman"/>
            <w:sz w:val="24"/>
            <w:szCs w:val="24"/>
          </w:rPr>
          <w:t>statut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24" w:history="1">
        <w:r w:rsidRPr="004A59EC">
          <w:rPr>
            <w:rFonts w:ascii="Times New Roman" w:hAnsi="Times New Roman" w:cs="Times New Roman"/>
            <w:sz w:val="24"/>
            <w:szCs w:val="24"/>
          </w:rPr>
          <w:t>copropriété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était vétuste et nécessitait des travaux estimés à 63.985 euros.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Par acte du 16 octobre 2014, l’OPH Drôme Aménagement Habitat a assigné Y devant le tribunal de grande </w:t>
      </w:r>
      <w:hyperlink r:id="rId25" w:history="1">
        <w:r w:rsidRPr="004A59EC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Valence pour obtenir sa condamnation à restaurer et entretenir la colonne montante, motif pris que cet ouvrage est affecté à la </w:t>
      </w:r>
      <w:hyperlink r:id="rId26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de l’énergie électrique.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Par jugement du 3 janvier 2017, le tribunal a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- dit que la colonne montante est la </w:t>
      </w:r>
      <w:hyperlink r:id="rId27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l’OPH Drôme Aménagement Habitat, qui n’a pas fait </w:t>
      </w:r>
      <w:hyperlink r:id="rId28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régulier de ses droits sur cet ouvrage,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- débouté l’OPH Drôme Aménagement Habitat de ses prétentions,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- condamné l’OPH Drôme Aménagement Habitat à payer à Y désormais la société </w:t>
      </w:r>
      <w:hyperlink r:id="rId29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la somme de 2.000 euros en application de l’article </w:t>
      </w:r>
      <w:hyperlink r:id="rId30" w:history="1">
        <w:r w:rsidRPr="004A59EC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31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32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à supporter les </w:t>
      </w:r>
      <w:hyperlink r:id="rId33" w:history="1">
        <w:r w:rsidRPr="004A59EC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L’OPH Drôme Aménagement Habitat a relevé </w:t>
      </w:r>
      <w:hyperlink r:id="rId34" w:history="1">
        <w:r w:rsidRPr="004A59EC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le 17 février 2017.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lastRenderedPageBreak/>
        <w:t xml:space="preserve">Dans ses dernières </w:t>
      </w:r>
      <w:hyperlink r:id="rId35" w:history="1">
        <w:r w:rsidRPr="004A59EC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24 octobre 2018, il demande à la cour d’</w:t>
      </w:r>
      <w:hyperlink r:id="rId36" w:history="1">
        <w:r w:rsidRPr="004A59EC">
          <w:rPr>
            <w:rFonts w:ascii="Times New Roman" w:hAnsi="Times New Roman" w:cs="Times New Roman"/>
            <w:sz w:val="24"/>
            <w:szCs w:val="24"/>
          </w:rPr>
          <w:t>infirmer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le jugement et de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constater que la colonne montante appartient au réseau public de </w:t>
      </w:r>
      <w:hyperlink r:id="rId37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de l’énergie électrique et fait </w:t>
      </w:r>
      <w:hyperlink r:id="rId38" w:history="1">
        <w:r w:rsidRPr="004A59EC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des ouvrages publics concédés à Y,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prendre acte, le cas échéant, de l’</w:t>
      </w:r>
      <w:hyperlink r:id="rId39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ses droits sur ladite colonne au profit d’Y par délibération du 2 juin 2015,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subsidiairement, constater que la </w:t>
      </w:r>
      <w:hyperlink r:id="rId40" w:history="1">
        <w:r w:rsidRPr="004A59EC">
          <w:rPr>
            <w:rFonts w:ascii="Times New Roman" w:hAnsi="Times New Roman" w:cs="Times New Roman"/>
            <w:sz w:val="24"/>
            <w:szCs w:val="24"/>
          </w:rPr>
          <w:t>faculté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41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unilatérale, prévue à l’article 15 du cahier des charges de la convention de </w:t>
      </w:r>
      <w:hyperlink r:id="rId42" w:history="1">
        <w:r w:rsidRPr="004A59EC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pour le </w:t>
      </w:r>
      <w:hyperlink r:id="rId43" w:history="1">
        <w:r w:rsidRPr="004A59EC">
          <w:rPr>
            <w:rFonts w:ascii="Times New Roman" w:hAnsi="Times New Roman" w:cs="Times New Roman"/>
            <w:sz w:val="24"/>
            <w:szCs w:val="24"/>
          </w:rPr>
          <w:t>service public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44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de l’énergie électrique conclue entre la </w:t>
      </w:r>
      <w:hyperlink r:id="rId45" w:history="1">
        <w:r w:rsidRPr="004A59EC">
          <w:rPr>
            <w:rFonts w:ascii="Times New Roman" w:hAnsi="Times New Roman" w:cs="Times New Roman"/>
            <w:sz w:val="24"/>
            <w:szCs w:val="24"/>
          </w:rPr>
          <w:t>commune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Montélimar et Y, n’est soumise à aucune </w:t>
      </w:r>
      <w:hyperlink r:id="rId46" w:history="1">
        <w:r w:rsidRPr="004A59EC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47" w:history="1">
        <w:r w:rsidRPr="004A59EC">
          <w:rPr>
            <w:rFonts w:ascii="Times New Roman" w:hAnsi="Times New Roman" w:cs="Times New Roman"/>
            <w:sz w:val="24"/>
            <w:szCs w:val="24"/>
          </w:rPr>
          <w:t>fond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tenant en particulier à l’</w:t>
      </w:r>
      <w:hyperlink r:id="rId48" w:history="1">
        <w:r w:rsidRPr="004A59EC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l’ouvrage,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en tout </w:t>
      </w:r>
      <w:hyperlink r:id="rId49" w:history="1">
        <w:r w:rsidRPr="004A59EC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50" w:history="1">
        <w:r w:rsidRPr="004A59EC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dire qu’il appartient à Y de renouveler et d’entretenir la colonne montante,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condamner Y à procéder aux travaux de remplacement, sous </w:t>
      </w:r>
      <w:hyperlink r:id="rId51" w:history="1">
        <w:r w:rsidRPr="004A59EC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500 euros par jour de retard passé le </w:t>
      </w:r>
      <w:hyperlink r:id="rId52" w:history="1">
        <w:r w:rsidRPr="004A59EC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30 jours à compter de la </w:t>
      </w:r>
      <w:hyperlink r:id="rId53" w:history="1">
        <w:r w:rsidRPr="004A59EC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</w:t>
      </w:r>
      <w:hyperlink r:id="rId54" w:history="1">
        <w:r w:rsidRPr="004A59EC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et à entretenir la colonne montante,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</w:t>
      </w:r>
      <w:hyperlink r:id="rId55" w:history="1">
        <w:r w:rsidRPr="004A59EC">
          <w:rPr>
            <w:rFonts w:ascii="Times New Roman" w:hAnsi="Times New Roman" w:cs="Times New Roman"/>
            <w:sz w:val="24"/>
            <w:szCs w:val="24"/>
          </w:rPr>
          <w:t>débouter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Y de ses demandes,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condamner Y à lui verser la somme de 5.000 euros en application de l’article </w:t>
      </w:r>
      <w:hyperlink r:id="rId56" w:history="1">
        <w:r w:rsidRPr="004A59EC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57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58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à supporter les </w:t>
      </w:r>
      <w:hyperlink r:id="rId59" w:history="1">
        <w:r w:rsidRPr="004A59EC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Pour </w:t>
      </w:r>
      <w:hyperlink r:id="rId60" w:history="1">
        <w:r w:rsidRPr="004A59EC">
          <w:rPr>
            <w:rFonts w:ascii="Times New Roman" w:hAnsi="Times New Roman" w:cs="Times New Roman"/>
            <w:sz w:val="24"/>
            <w:szCs w:val="24"/>
          </w:rPr>
          <w:t>soutenir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que la colonne montante électrique appartient au réseau public de </w:t>
      </w:r>
      <w:hyperlink r:id="rId61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il invoque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les dispositions de l’article </w:t>
      </w:r>
      <w:hyperlink r:id="rId62" w:history="1">
        <w:r w:rsidRPr="004A59EC">
          <w:rPr>
            <w:rFonts w:ascii="Times New Roman" w:hAnsi="Times New Roman" w:cs="Times New Roman"/>
            <w:sz w:val="24"/>
            <w:szCs w:val="24"/>
          </w:rPr>
          <w:t>L 2224-31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63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général des collectivités territoriales et de l’article </w:t>
      </w:r>
      <w:hyperlink r:id="rId64" w:history="1">
        <w:r w:rsidRPr="004A59EC">
          <w:rPr>
            <w:rFonts w:ascii="Times New Roman" w:hAnsi="Times New Roman" w:cs="Times New Roman"/>
            <w:sz w:val="24"/>
            <w:szCs w:val="24"/>
          </w:rPr>
          <w:t>L 342-1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65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l’énergie sur les ouvrages de branchement affectés à la </w:t>
      </w:r>
      <w:hyperlink r:id="rId66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de l’énergie électrique,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l’article 2 du cahier des charges de la convention de </w:t>
      </w:r>
      <w:hyperlink r:id="rId67" w:history="1">
        <w:r w:rsidRPr="004A59EC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conclue entre la mairie de Montélimar et EDF,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l’article 44.3° de la </w:t>
      </w:r>
      <w:hyperlink r:id="rId68" w:history="1">
        <w:r w:rsidRPr="004A59EC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nationalisation du 8 avril 1946,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la </w:t>
      </w:r>
      <w:hyperlink r:id="rId69" w:history="1">
        <w:r w:rsidRPr="004A59EC">
          <w:rPr>
            <w:rFonts w:ascii="Times New Roman" w:hAnsi="Times New Roman" w:cs="Times New Roman"/>
            <w:sz w:val="24"/>
            <w:szCs w:val="24"/>
          </w:rPr>
          <w:t>jurisprudence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Conseil d’Etat et le courant jurisprudentiel dominant des tribunaux de l’</w:t>
      </w:r>
      <w:hyperlink r:id="rId70" w:history="1">
        <w:r w:rsidRPr="004A59EC">
          <w:rPr>
            <w:rFonts w:ascii="Times New Roman" w:hAnsi="Times New Roman" w:cs="Times New Roman"/>
            <w:sz w:val="24"/>
            <w:szCs w:val="24"/>
          </w:rPr>
          <w:t>ordre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judiciaire qui retiennent une </w:t>
      </w:r>
      <w:hyperlink r:id="rId71" w:history="1">
        <w:r w:rsidRPr="004A59EC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d’incorporation au réseau public,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les recommandations du Médiateur national de l’énergie, en ce sens.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Il fait valoir que ni le caractère intérieur de la colonne, ni l’édification du bâtiment antérieurement au cahier des charges ne sont de nature à en déterminer la </w:t>
      </w:r>
      <w:hyperlink r:id="rId72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> ;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le tribunal a inversé la </w:t>
      </w:r>
      <w:hyperlink r:id="rId73" w:history="1">
        <w:r w:rsidRPr="004A59EC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74" w:history="1">
        <w:r w:rsidRPr="004A59EC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jugé à tort qu’il lui appartenait de justifier de l’</w:t>
      </w:r>
      <w:hyperlink r:id="rId75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76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colonne litigieuse.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Il invoque, subsidiairement, l’</w:t>
      </w:r>
      <w:hyperlink r:id="rId77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ses droits sur la colonne, en application de l’article 15 du cahier des charges qui prévoit une </w:t>
      </w:r>
      <w:hyperlink r:id="rId78" w:history="1">
        <w:r w:rsidRPr="004A59EC">
          <w:rPr>
            <w:rFonts w:ascii="Times New Roman" w:hAnsi="Times New Roman" w:cs="Times New Roman"/>
            <w:sz w:val="24"/>
            <w:szCs w:val="24"/>
          </w:rPr>
          <w:t>faculté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79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unilatérale et sans </w:t>
      </w:r>
      <w:hyperlink r:id="rId80" w:history="1">
        <w:r w:rsidRPr="004A59EC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Dans ses dernières </w:t>
      </w:r>
      <w:hyperlink r:id="rId81" w:history="1">
        <w:r w:rsidRPr="004A59EC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23 juin 2017, la société </w:t>
      </w:r>
      <w:hyperlink r:id="rId82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nouvelle dénomination de Y, demande à la cour de confirmer le jugement et de condamner l’OPH Drôme Aménagement Habitat à lui verser la somme de 5.000 euros au </w:t>
      </w:r>
      <w:hyperlink r:id="rId83" w:history="1">
        <w:r w:rsidRPr="004A59EC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84" w:history="1">
        <w:r w:rsidRPr="004A59EC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85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86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à supporter les </w:t>
      </w:r>
      <w:hyperlink r:id="rId87" w:history="1">
        <w:r w:rsidRPr="004A59EC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Elle rappelle, à </w:t>
      </w:r>
      <w:hyperlink r:id="rId88" w:history="1">
        <w:r w:rsidRPr="004A59EC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liminaire, que l’</w:t>
      </w:r>
      <w:hyperlink r:id="rId89" w:history="1">
        <w:r w:rsidRPr="004A59EC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concerné a été édifié dans les années 1960.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Elle fait valoir que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le </w:t>
      </w:r>
      <w:hyperlink r:id="rId90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d’application de la </w:t>
      </w:r>
      <w:hyperlink r:id="rId91" w:history="1">
        <w:r w:rsidRPr="004A59EC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nationalisation de 1946 n’a institué aucun régime d’incorporation de plein droit des colonnes montantes au réseau public de </w:t>
      </w:r>
      <w:hyperlink r:id="rId92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d’électricité,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les dispositions du </w:t>
      </w:r>
      <w:hyperlink r:id="rId93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29 mars 1955 ont été reprises à l’article 15 du cahier des charges type de 1992 de </w:t>
      </w:r>
      <w:hyperlink r:id="rId94" w:history="1">
        <w:r w:rsidRPr="004A59EC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pour la </w:t>
      </w:r>
      <w:hyperlink r:id="rId95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publique d’électricité,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seules font </w:t>
      </w:r>
      <w:hyperlink r:id="rId96" w:history="1">
        <w:r w:rsidRPr="004A59EC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des ouvrages concédés, les colonnes électriques construites avant 1992 par les propriétaires d’immeubles collectifs qui ont abandonné leurs droits au </w:t>
      </w:r>
      <w:hyperlink r:id="rId97" w:history="1">
        <w:r w:rsidRPr="004A59EC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la colonne litigieuse, construite avant 1992, ne lui a pas été cédée,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lastRenderedPageBreak/>
        <w:t xml:space="preserve">— l’acte </w:t>
      </w:r>
      <w:hyperlink r:id="rId98" w:history="1">
        <w:r w:rsidRPr="004A59EC">
          <w:rPr>
            <w:rFonts w:ascii="Times New Roman" w:hAnsi="Times New Roman" w:cs="Times New Roman"/>
            <w:sz w:val="24"/>
            <w:szCs w:val="24"/>
          </w:rPr>
          <w:t>unilatéral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99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00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par l’OPH Drôme Aménagement Habitat, selon délibération de son </w:t>
      </w:r>
      <w:hyperlink r:id="rId101" w:history="1">
        <w:r w:rsidRPr="004A59EC">
          <w:rPr>
            <w:rFonts w:ascii="Times New Roman" w:hAnsi="Times New Roman" w:cs="Times New Roman"/>
            <w:sz w:val="24"/>
            <w:szCs w:val="24"/>
          </w:rPr>
          <w:t>conseil d’administration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contestée devant le tribunal administratif, ne vaut pas </w:t>
      </w:r>
      <w:hyperlink r:id="rId102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régulier du droit de </w:t>
      </w:r>
      <w:hyperlink r:id="rId103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l’ouvrage litigieux appartient à l’OPH Drôme Aménagement Habitat,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les dispositions des articles </w:t>
      </w:r>
      <w:hyperlink r:id="rId104" w:history="1">
        <w:r w:rsidRPr="004A59EC">
          <w:rPr>
            <w:rFonts w:ascii="Times New Roman" w:hAnsi="Times New Roman" w:cs="Times New Roman"/>
            <w:sz w:val="24"/>
            <w:szCs w:val="24"/>
          </w:rPr>
          <w:t>L 2224-31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05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général des collectivités territoriales et </w:t>
      </w:r>
      <w:hyperlink r:id="rId106" w:history="1">
        <w:r w:rsidRPr="004A59EC">
          <w:rPr>
            <w:rFonts w:ascii="Times New Roman" w:hAnsi="Times New Roman" w:cs="Times New Roman"/>
            <w:sz w:val="24"/>
            <w:szCs w:val="24"/>
          </w:rPr>
          <w:t>L 342-1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07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l’énergie n’ont ni pour objet ni pour effet de modifier les stipulations du cahier des charges ;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les colonnes montantes construites avant la </w:t>
      </w:r>
      <w:hyperlink r:id="rId108" w:history="1">
        <w:r w:rsidRPr="004A59EC">
          <w:rPr>
            <w:rFonts w:ascii="Times New Roman" w:hAnsi="Times New Roman" w:cs="Times New Roman"/>
            <w:sz w:val="24"/>
            <w:szCs w:val="24"/>
          </w:rPr>
          <w:t>signature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09" w:history="1">
        <w:r w:rsidRPr="004A59EC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dont le cahier des charges a été établi sur le modèle du cahier des charges de 1992 et pour lesquelles les propriétaires n’ont pas fait </w:t>
      </w:r>
      <w:hyperlink r:id="rId110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leur droit au </w:t>
      </w:r>
      <w:hyperlink r:id="rId111" w:history="1">
        <w:r w:rsidRPr="004A59EC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comme en l’</w:t>
      </w:r>
      <w:hyperlink r:id="rId112" w:history="1">
        <w:r w:rsidRPr="004A59EC">
          <w:rPr>
            <w:rFonts w:ascii="Times New Roman" w:hAnsi="Times New Roman" w:cs="Times New Roman"/>
            <w:sz w:val="24"/>
            <w:szCs w:val="24"/>
          </w:rPr>
          <w:t>espèce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ne font pas </w:t>
      </w:r>
      <w:hyperlink r:id="rId113" w:history="1">
        <w:r w:rsidRPr="004A59EC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des ouvrages de </w:t>
      </w:r>
      <w:hyperlink r:id="rId114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concédés.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MOTIFS DE LA DÉCISION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Pour un plus ample exposé des faits, de la procédure et des moyens des parties, la cour se réfère à la décision attaquée et aux dernières </w:t>
      </w:r>
      <w:hyperlink r:id="rId115" w:history="1">
        <w:r w:rsidRPr="004A59EC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déposées.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Le </w:t>
      </w:r>
      <w:hyperlink r:id="rId116" w:history="1">
        <w:r w:rsidRPr="004A59EC">
          <w:rPr>
            <w:rFonts w:ascii="Times New Roman" w:hAnsi="Times New Roman" w:cs="Times New Roman"/>
            <w:sz w:val="24"/>
            <w:szCs w:val="24"/>
          </w:rPr>
          <w:t>litige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porte sur un ouvrage de </w:t>
      </w:r>
      <w:hyperlink r:id="rId117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d’électricité dans un </w:t>
      </w:r>
      <w:hyperlink r:id="rId118" w:history="1">
        <w:r w:rsidRPr="004A59EC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dont il n’est pas contesté qu’il a été construit dans les années 1960, soit postérieurement à la </w:t>
      </w:r>
      <w:hyperlink r:id="rId119" w:history="1">
        <w:r w:rsidRPr="004A59EC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n° 46-628 du 8 avril 1946 qui a nationalisé notamment le transport et la </w:t>
      </w:r>
      <w:hyperlink r:id="rId120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d’électricité.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L’article 1er du </w:t>
      </w:r>
      <w:hyperlink r:id="rId121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d’application du 8 novembre 1946 dispose :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'Dès la </w:t>
      </w:r>
      <w:hyperlink r:id="rId122" w:history="1">
        <w:r w:rsidRPr="004A59EC">
          <w:rPr>
            <w:rFonts w:ascii="Times New Roman" w:hAnsi="Times New Roman" w:cs="Times New Roman"/>
            <w:sz w:val="24"/>
            <w:szCs w:val="24"/>
          </w:rPr>
          <w:t>publication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présent </w:t>
      </w:r>
      <w:hyperlink r:id="rId123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sont incorporés aux réseaux de </w:t>
      </w:r>
      <w:hyperlink r:id="rId124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d’électricité, tous les ouvrages à usage collectif de transmission ou de transformation d’électricité établis sur une </w:t>
      </w:r>
      <w:hyperlink r:id="rId125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privée à l’</w:t>
      </w:r>
      <w:hyperlink r:id="rId126" w:history="1">
        <w:r w:rsidRPr="004A59EC">
          <w:rPr>
            <w:rFonts w:ascii="Times New Roman" w:hAnsi="Times New Roman" w:cs="Times New Roman"/>
            <w:sz w:val="24"/>
            <w:szCs w:val="24"/>
          </w:rPr>
          <w:t>exception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ceux de ces ouvrages appartenant au propriétaire de l’</w:t>
      </w:r>
      <w:hyperlink r:id="rId127" w:history="1">
        <w:r w:rsidRPr="004A59EC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dans lequel ils sont établis, pour lesquels celui-ci ne perçoit ou accepte de ne percevoir, à l’avenir, aucune </w:t>
      </w:r>
      <w:hyperlink r:id="rId128" w:history="1">
        <w:r w:rsidRPr="004A59EC">
          <w:rPr>
            <w:rFonts w:ascii="Times New Roman" w:hAnsi="Times New Roman" w:cs="Times New Roman"/>
            <w:sz w:val="24"/>
            <w:szCs w:val="24"/>
          </w:rPr>
          <w:t>redevance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spéciale.'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L’article </w:t>
      </w:r>
      <w:hyperlink r:id="rId129" w:history="1">
        <w:r w:rsidRPr="004A59E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30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29 mars 1955 relatif aux frais de renforcement des colonnes montantes, pris sur le fondement de la </w:t>
      </w:r>
      <w:hyperlink r:id="rId131" w:history="1">
        <w:r w:rsidRPr="004A59EC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nationalisation de 1946, a confirmé la possibilité d’incorporation des colonnes montantes au réseau public sur </w:t>
      </w:r>
      <w:hyperlink r:id="rId132" w:history="1">
        <w:r w:rsidRPr="004A59EC">
          <w:rPr>
            <w:rFonts w:ascii="Times New Roman" w:hAnsi="Times New Roman" w:cs="Times New Roman"/>
            <w:sz w:val="24"/>
            <w:szCs w:val="24"/>
          </w:rPr>
          <w:t>acceptation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des propriétaires.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Il se déduit de ces dispositions qu’elles ont fait naître au bénéfice des propriétaires des immeubles une </w:t>
      </w:r>
      <w:hyperlink r:id="rId133" w:history="1">
        <w:r w:rsidRPr="004A59EC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d’incorporation des colonnes montantes au réseau public.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C’est donc au distributeur d’électricité qui se prévaut de l’</w:t>
      </w:r>
      <w:hyperlink r:id="rId134" w:history="1">
        <w:r w:rsidRPr="004A59EC">
          <w:rPr>
            <w:rFonts w:ascii="Times New Roman" w:hAnsi="Times New Roman" w:cs="Times New Roman"/>
            <w:sz w:val="24"/>
            <w:szCs w:val="24"/>
          </w:rPr>
          <w:t>exception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instituée par l’article 1er du </w:t>
      </w:r>
      <w:hyperlink r:id="rId135" w:history="1">
        <w:r w:rsidRPr="004A59EC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8 novembre 1946, de démontrer que le propriétaire de l’</w:t>
      </w:r>
      <w:hyperlink r:id="rId136" w:history="1">
        <w:r w:rsidRPr="004A59EC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a expressément manifesté la volonté d’en conserver la </w:t>
      </w:r>
      <w:hyperlink r:id="rId137" w:history="1">
        <w:r w:rsidRPr="004A59EC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En l’</w:t>
      </w:r>
      <w:hyperlink r:id="rId138" w:history="1">
        <w:r w:rsidRPr="004A59EC">
          <w:rPr>
            <w:rFonts w:ascii="Times New Roman" w:hAnsi="Times New Roman" w:cs="Times New Roman"/>
            <w:sz w:val="24"/>
            <w:szCs w:val="24"/>
          </w:rPr>
          <w:t>espèce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la convention de </w:t>
      </w:r>
      <w:hyperlink r:id="rId139" w:history="1">
        <w:r w:rsidRPr="004A59EC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pour le </w:t>
      </w:r>
      <w:hyperlink r:id="rId140" w:history="1">
        <w:r w:rsidRPr="004A59EC">
          <w:rPr>
            <w:rFonts w:ascii="Times New Roman" w:hAnsi="Times New Roman" w:cs="Times New Roman"/>
            <w:sz w:val="24"/>
            <w:szCs w:val="24"/>
          </w:rPr>
          <w:t>service public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41" w:history="1">
        <w:r w:rsidRPr="004A59EC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d’énergie électrique de la ville de Montélimar signée le 18 janvier 1993 vise expressément les conditions du cahier des charges annexé.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L’article 15 </w:t>
      </w:r>
      <w:proofErr w:type="gramStart"/>
      <w:r w:rsidRPr="004A59EC">
        <w:rPr>
          <w:rFonts w:ascii="Times New Roman" w:hAnsi="Times New Roman" w:cs="Times New Roman"/>
          <w:sz w:val="24"/>
          <w:szCs w:val="24"/>
        </w:rPr>
        <w:t>alinéa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6 du cahier des charges prévoit la possibilité pour les propriétaires des colonnes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montantes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de faire </w:t>
      </w:r>
      <w:hyperlink r:id="rId142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leurs droits sur celles-ci au </w:t>
      </w:r>
      <w:hyperlink r:id="rId143" w:history="1">
        <w:r w:rsidRPr="004A59EC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qui devra alors en assurer la maintenance.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Ce droit d’</w:t>
      </w:r>
      <w:hyperlink r:id="rId144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n’est contractuellement soumis à aucune </w:t>
      </w:r>
      <w:hyperlink r:id="rId145" w:history="1">
        <w:r w:rsidRPr="004A59EC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46" w:history="1">
        <w:r w:rsidRPr="004A59EC">
          <w:rPr>
            <w:rFonts w:ascii="Times New Roman" w:hAnsi="Times New Roman" w:cs="Times New Roman"/>
            <w:sz w:val="24"/>
            <w:szCs w:val="24"/>
          </w:rPr>
          <w:t>fond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tenant en particulier à l’</w:t>
      </w:r>
      <w:hyperlink r:id="rId147" w:history="1">
        <w:r w:rsidRPr="004A59EC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l’ouvrage.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La société </w:t>
      </w:r>
      <w:hyperlink r:id="rId148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ne peut donc pas subordonner la validité de l’</w:t>
      </w:r>
      <w:hyperlink r:id="rId149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droits à son </w:t>
      </w:r>
      <w:hyperlink r:id="rId150" w:history="1">
        <w:r w:rsidRPr="004A59EC">
          <w:rPr>
            <w:rFonts w:ascii="Times New Roman" w:hAnsi="Times New Roman" w:cs="Times New Roman"/>
            <w:sz w:val="24"/>
            <w:szCs w:val="24"/>
          </w:rPr>
          <w:t>acceptation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à une remise en état préalable de la colonne montante.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Par conséquent c’est à tort que le tribunal a dit que la délibération du </w:t>
      </w:r>
      <w:hyperlink r:id="rId151" w:history="1">
        <w:r w:rsidRPr="004A59EC">
          <w:rPr>
            <w:rFonts w:ascii="Times New Roman" w:hAnsi="Times New Roman" w:cs="Times New Roman"/>
            <w:sz w:val="24"/>
            <w:szCs w:val="24"/>
          </w:rPr>
          <w:t>conseil d’administration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du 2 juin 2015 autorisant l’OPH Drôme Aménagement Habitat à décider de faire </w:t>
      </w:r>
      <w:hyperlink r:id="rId152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ses droits sur la colonne électrique montante au profit de la société </w:t>
      </w:r>
      <w:hyperlink r:id="rId153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>, ne pouvait produire ses effets.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Le jugement sera infirmé.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Du fait de l’</w:t>
      </w:r>
      <w:hyperlink r:id="rId154" w:history="1">
        <w:r w:rsidRPr="004A59EC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des droits de l’OPH Drôme Aménagement Habitat sur la colonne montante, il appartient à la société </w:t>
      </w:r>
      <w:hyperlink r:id="rId155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procéder à son entretien et à son renouvellement, conformément aux dispositions de l’article 15 du cahier des charges dans les deux mois de la </w:t>
      </w:r>
      <w:hyperlink r:id="rId156" w:history="1">
        <w:r w:rsidRPr="004A59EC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la présente décision sous </w:t>
      </w:r>
      <w:hyperlink r:id="rId157" w:history="1">
        <w:r w:rsidRPr="004A59EC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, passé ce </w:t>
      </w:r>
      <w:hyperlink r:id="rId158" w:history="1">
        <w:r w:rsidRPr="004A59EC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de 200 euros par jour de retard.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L’</w:t>
      </w:r>
      <w:hyperlink r:id="rId159" w:history="1">
        <w:r w:rsidRPr="004A59EC">
          <w:rPr>
            <w:rFonts w:ascii="Times New Roman" w:hAnsi="Times New Roman" w:cs="Times New Roman"/>
            <w:sz w:val="24"/>
            <w:szCs w:val="24"/>
          </w:rPr>
          <w:t>équité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commande que la société </w:t>
      </w:r>
      <w:hyperlink r:id="rId160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verse à l’OPH Drôme Aménagement Habitat une indemnité de procédure pour les frais exposés en </w:t>
      </w:r>
      <w:hyperlink r:id="rId161" w:history="1">
        <w:r w:rsidRPr="004A59EC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162" w:history="1">
        <w:r w:rsidRPr="004A59EC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qui ne sont pas compris dans les </w:t>
      </w:r>
      <w:hyperlink r:id="rId163" w:history="1">
        <w:r w:rsidRPr="004A59EC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PAR CES MOTIFS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La cour statuant publiquement, par </w:t>
      </w:r>
      <w:hyperlink r:id="rId164" w:history="1">
        <w:r w:rsidRPr="004A59EC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 w:rsidRPr="004A59EC">
          <w:rPr>
            <w:rFonts w:ascii="Times New Roman" w:hAnsi="Times New Roman" w:cs="Times New Roman"/>
            <w:sz w:val="24"/>
            <w:szCs w:val="24"/>
          </w:rPr>
          <w:t>contradictoire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— Infirme le jugement déféré,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EC">
        <w:rPr>
          <w:rFonts w:ascii="Times New Roman" w:hAnsi="Times New Roman" w:cs="Times New Roman"/>
          <w:sz w:val="24"/>
          <w:szCs w:val="24"/>
        </w:rPr>
        <w:t>statuant</w:t>
      </w:r>
      <w:proofErr w:type="gramEnd"/>
      <w:r w:rsidRPr="004A59EC">
        <w:rPr>
          <w:rFonts w:ascii="Times New Roman" w:hAnsi="Times New Roman" w:cs="Times New Roman"/>
          <w:sz w:val="24"/>
          <w:szCs w:val="24"/>
        </w:rPr>
        <w:t xml:space="preserve"> à nouveau,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Constate que l’OPH Drôme Aménagement Habitat a abandonné ses droits sur la colonne montante électrique au profit de la société </w:t>
      </w:r>
      <w:hyperlink r:id="rId166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Dit qu’il appartient à la société </w:t>
      </w:r>
      <w:hyperlink r:id="rId167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renouveler et entretenir ladite colonne montante,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Condamne la société </w:t>
      </w:r>
      <w:hyperlink r:id="rId168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à procéder aux travaux de remplacement, sous </w:t>
      </w:r>
      <w:hyperlink r:id="rId169" w:history="1">
        <w:r w:rsidRPr="004A59EC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200 euros par jour de retard passé le </w:t>
      </w:r>
      <w:hyperlink r:id="rId170" w:history="1">
        <w:r w:rsidRPr="004A59EC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deux mois à compter de la </w:t>
      </w:r>
      <w:hyperlink r:id="rId171" w:history="1">
        <w:r w:rsidRPr="004A59EC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</w:t>
      </w:r>
      <w:hyperlink r:id="rId172" w:history="1">
        <w:r w:rsidRPr="004A59EC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 et à entretenir la colonne montante,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Condamne la société </w:t>
      </w:r>
      <w:hyperlink r:id="rId173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à payer à l’OPH Drôme Aménagement Habitat la somme de 3.000 euros au </w:t>
      </w:r>
      <w:hyperlink r:id="rId174" w:history="1">
        <w:r w:rsidRPr="004A59EC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175" w:history="1">
        <w:r w:rsidRPr="004A59EC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76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77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— Condamne la société </w:t>
      </w:r>
      <w:hyperlink r:id="rId178" w:history="1">
        <w:proofErr w:type="spellStart"/>
        <w:r w:rsidRPr="004A59EC">
          <w:rPr>
            <w:rFonts w:ascii="Times New Roman" w:hAnsi="Times New Roman" w:cs="Times New Roman"/>
            <w:sz w:val="24"/>
            <w:szCs w:val="24"/>
          </w:rPr>
          <w:t>Enedis</w:t>
        </w:r>
        <w:proofErr w:type="spellEnd"/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aux </w:t>
      </w:r>
      <w:hyperlink r:id="rId179" w:history="1">
        <w:r w:rsidRPr="004A59EC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première </w:t>
      </w:r>
      <w:hyperlink r:id="rId180" w:history="1">
        <w:r w:rsidRPr="004A59EC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et d’</w:t>
      </w:r>
      <w:hyperlink r:id="rId181" w:history="1">
        <w:r w:rsidRPr="004A59EC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qui seront recouvrés conformément aux dispositions de l’article </w:t>
      </w:r>
      <w:hyperlink r:id="rId182" w:history="1">
        <w:r w:rsidRPr="004A59EC">
          <w:rPr>
            <w:rFonts w:ascii="Times New Roman" w:hAnsi="Times New Roman" w:cs="Times New Roman"/>
            <w:sz w:val="24"/>
            <w:szCs w:val="24"/>
          </w:rPr>
          <w:t>699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83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84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Prononcé par mise à disposition de l’</w:t>
      </w:r>
      <w:hyperlink r:id="rId185" w:history="1">
        <w:r w:rsidRPr="004A59EC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au greffe de la Cour, les parties en ayant été préalablement avisées dans les conditions prévues au deuxième alinéa de l’article </w:t>
      </w:r>
      <w:hyperlink r:id="rId186" w:history="1">
        <w:r w:rsidRPr="004A59EC">
          <w:rPr>
            <w:rFonts w:ascii="Times New Roman" w:hAnsi="Times New Roman" w:cs="Times New Roman"/>
            <w:sz w:val="24"/>
            <w:szCs w:val="24"/>
          </w:rPr>
          <w:t>450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87" w:history="1">
        <w:r w:rsidRPr="004A59EC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88" w:history="1">
        <w:r w:rsidRPr="004A59EC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4A59EC">
        <w:rPr>
          <w:rFonts w:ascii="Times New Roman" w:hAnsi="Times New Roman" w:cs="Times New Roman"/>
          <w:sz w:val="24"/>
          <w:szCs w:val="24"/>
        </w:rPr>
        <w:t>,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 xml:space="preserve">Signé par Madame COMBES, Président, et par Madame BUREL, Greffier, auquel la minute de la décision a été remise par le </w:t>
      </w:r>
      <w:hyperlink r:id="rId189" w:history="1">
        <w:r w:rsidRPr="004A59EC">
          <w:rPr>
            <w:rFonts w:ascii="Times New Roman" w:hAnsi="Times New Roman" w:cs="Times New Roman"/>
            <w:sz w:val="24"/>
            <w:szCs w:val="24"/>
          </w:rPr>
          <w:t>magistrat</w:t>
        </w:r>
      </w:hyperlink>
      <w:r w:rsidRPr="004A59EC">
        <w:rPr>
          <w:rFonts w:ascii="Times New Roman" w:hAnsi="Times New Roman" w:cs="Times New Roman"/>
          <w:sz w:val="24"/>
          <w:szCs w:val="24"/>
        </w:rPr>
        <w:t xml:space="preserve"> signataire.</w:t>
      </w:r>
    </w:p>
    <w:p w:rsidR="004A59EC" w:rsidRPr="004A59EC" w:rsidRDefault="004A59E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A59EC">
        <w:rPr>
          <w:rFonts w:ascii="Times New Roman" w:hAnsi="Times New Roman" w:cs="Times New Roman"/>
          <w:sz w:val="24"/>
          <w:szCs w:val="24"/>
        </w:rPr>
        <w:t>LE GREFFIER LE PRÉSIDENT</w:t>
      </w:r>
    </w:p>
    <w:bookmarkEnd w:id="0"/>
    <w:p w:rsidR="00DE7086" w:rsidRPr="004A59EC" w:rsidRDefault="0014097C" w:rsidP="004A59E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sectPr w:rsidR="00DE7086" w:rsidRPr="004A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C"/>
    <w:rsid w:val="0014097C"/>
    <w:rsid w:val="004A59EC"/>
    <w:rsid w:val="00625281"/>
    <w:rsid w:val="00C91887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5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5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3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87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3181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8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3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BFBF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73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1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3366BB"/>
                                                                                    <w:left w:val="none" w:sz="0" w:space="0" w:color="3366BB"/>
                                                                                    <w:bottom w:val="none" w:sz="0" w:space="0" w:color="3366BB"/>
                                                                                    <w:right w:val="none" w:sz="0" w:space="0" w:color="3366B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3366BB"/>
                                                                                    <w:left w:val="none" w:sz="0" w:space="0" w:color="3366BB"/>
                                                                                    <w:bottom w:val="none" w:sz="0" w:space="0" w:color="3366BB"/>
                                                                                    <w:right w:val="none" w:sz="0" w:space="0" w:color="3366B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1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6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1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6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75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40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27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66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8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71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60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2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8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46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1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7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7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77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3061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96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88463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808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4484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64506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306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6755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31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088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273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51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17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9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0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ctrine.fr/?q=distribution&amp;source=fichekeywordlink" TargetMode="External"/><Relationship Id="rId117" Type="http://schemas.openxmlformats.org/officeDocument/2006/relationships/hyperlink" Target="https://www.doctrine.fr/?q=distribution&amp;source=fichekeywordlink" TargetMode="External"/><Relationship Id="rId21" Type="http://schemas.openxmlformats.org/officeDocument/2006/relationships/hyperlink" Target="https://www.doctrine.fr/?q=ensemble%20immobilier&amp;source=fichekeywordlink" TargetMode="External"/><Relationship Id="rId42" Type="http://schemas.openxmlformats.org/officeDocument/2006/relationships/hyperlink" Target="https://www.doctrine.fr/?q=concession&amp;source=fichekeywordlink" TargetMode="External"/><Relationship Id="rId47" Type="http://schemas.openxmlformats.org/officeDocument/2006/relationships/hyperlink" Target="https://www.doctrine.fr/?q=fond&amp;source=fichekeywordlink" TargetMode="External"/><Relationship Id="rId63" Type="http://schemas.openxmlformats.org/officeDocument/2006/relationships/hyperlink" Target="https://www.doctrine.fr/?q=code&amp;source=fichekeywordlink" TargetMode="External"/><Relationship Id="rId68" Type="http://schemas.openxmlformats.org/officeDocument/2006/relationships/hyperlink" Target="https://www.doctrine.fr/?q=loi&amp;source=fichekeywordlink" TargetMode="External"/><Relationship Id="rId84" Type="http://schemas.openxmlformats.org/officeDocument/2006/relationships/hyperlink" Target="https://www.doctrine.fr/l/LEGIARTI000028424729?source=legilink&amp;origin=CC9E3A652509FF9AC1E00" TargetMode="External"/><Relationship Id="rId89" Type="http://schemas.openxmlformats.org/officeDocument/2006/relationships/hyperlink" Target="https://www.doctrine.fr/?q=immeuble&amp;source=fichekeywordlink" TargetMode="External"/><Relationship Id="rId112" Type="http://schemas.openxmlformats.org/officeDocument/2006/relationships/hyperlink" Target="https://www.doctrine.fr/?q=esp%C3%A8ce&amp;source=fichekeywordlink" TargetMode="External"/><Relationship Id="rId133" Type="http://schemas.openxmlformats.org/officeDocument/2006/relationships/hyperlink" Target="https://www.doctrine.fr/?q=pr%C3%A9somption&amp;source=fichekeywordlink" TargetMode="External"/><Relationship Id="rId138" Type="http://schemas.openxmlformats.org/officeDocument/2006/relationships/hyperlink" Target="https://www.doctrine.fr/?q=esp%C3%A8ce&amp;source=fichekeywordlink" TargetMode="External"/><Relationship Id="rId154" Type="http://schemas.openxmlformats.org/officeDocument/2006/relationships/hyperlink" Target="https://www.doctrine.fr/?q=abandon&amp;source=fichekeywordlink" TargetMode="External"/><Relationship Id="rId159" Type="http://schemas.openxmlformats.org/officeDocument/2006/relationships/hyperlink" Target="https://www.doctrine.fr/?q=%C3%A9quit%C3%A9&amp;source=fichekeywordlink" TargetMode="External"/><Relationship Id="rId175" Type="http://schemas.openxmlformats.org/officeDocument/2006/relationships/hyperlink" Target="https://www.doctrine.fr/l/LEGIARTI000028424729?source=legilink&amp;origin=CC9E3A652509FF9AC1E00" TargetMode="External"/><Relationship Id="rId170" Type="http://schemas.openxmlformats.org/officeDocument/2006/relationships/hyperlink" Target="https://www.doctrine.fr/?q=d%C3%A9lai&amp;source=fichekeywordlink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www.doctrine.fr/?q=d%C3%A9bats&amp;source=fichekeywordlink" TargetMode="External"/><Relationship Id="rId107" Type="http://schemas.openxmlformats.org/officeDocument/2006/relationships/hyperlink" Target="https://www.doctrine.fr/?q=code&amp;source=fichekeywordlink" TargetMode="External"/><Relationship Id="rId11" Type="http://schemas.openxmlformats.org/officeDocument/2006/relationships/hyperlink" Target="https://www.doctrine.fr/p/avocat/LA80CFA83CD5226B1AED2?source=decisionPageLink" TargetMode="External"/><Relationship Id="rId32" Type="http://schemas.openxmlformats.org/officeDocument/2006/relationships/hyperlink" Target="https://www.doctrine.fr/?q=proc%C3%A9dure%20civile&amp;source=fichekeywordlink" TargetMode="External"/><Relationship Id="rId37" Type="http://schemas.openxmlformats.org/officeDocument/2006/relationships/hyperlink" Target="https://www.doctrine.fr/?q=distribution&amp;source=fichekeywordlink" TargetMode="External"/><Relationship Id="rId53" Type="http://schemas.openxmlformats.org/officeDocument/2006/relationships/hyperlink" Target="https://www.doctrine.fr/?q=signification&amp;source=fichekeywordlink" TargetMode="External"/><Relationship Id="rId58" Type="http://schemas.openxmlformats.org/officeDocument/2006/relationships/hyperlink" Target="https://www.doctrine.fr/?q=proc%C3%A9dure%20civile&amp;source=fichekeywordlink" TargetMode="External"/><Relationship Id="rId74" Type="http://schemas.openxmlformats.org/officeDocument/2006/relationships/hyperlink" Target="https://www.doctrine.fr/?q=preuve&amp;source=fichekeywordlink" TargetMode="External"/><Relationship Id="rId79" Type="http://schemas.openxmlformats.org/officeDocument/2006/relationships/hyperlink" Target="https://www.doctrine.fr/?q=abandon&amp;source=fichekeywordlink" TargetMode="External"/><Relationship Id="rId102" Type="http://schemas.openxmlformats.org/officeDocument/2006/relationships/hyperlink" Target="https://www.doctrine.fr/?q=abandon&amp;source=fichekeywordlink" TargetMode="External"/><Relationship Id="rId123" Type="http://schemas.openxmlformats.org/officeDocument/2006/relationships/hyperlink" Target="https://www.doctrine.fr/?q=d%C3%A9cret&amp;source=fichekeywordlink" TargetMode="External"/><Relationship Id="rId128" Type="http://schemas.openxmlformats.org/officeDocument/2006/relationships/hyperlink" Target="https://www.doctrine.fr/?q=redevance&amp;source=fichekeywordlink" TargetMode="External"/><Relationship Id="rId144" Type="http://schemas.openxmlformats.org/officeDocument/2006/relationships/hyperlink" Target="https://www.doctrine.fr/?q=abandon&amp;source=fichekeywordlink" TargetMode="External"/><Relationship Id="rId149" Type="http://schemas.openxmlformats.org/officeDocument/2006/relationships/hyperlink" Target="https://www.doctrine.fr/?q=abandon&amp;source=fichekeywordlink" TargetMode="External"/><Relationship Id="rId5" Type="http://schemas.openxmlformats.org/officeDocument/2006/relationships/hyperlink" Target="https://www.doctrine.fr/?q=appel&amp;source=fichekeywordlink" TargetMode="External"/><Relationship Id="rId90" Type="http://schemas.openxmlformats.org/officeDocument/2006/relationships/hyperlink" Target="https://www.doctrine.fr/?q=d%C3%A9cret&amp;source=fichekeywordlink" TargetMode="External"/><Relationship Id="rId95" Type="http://schemas.openxmlformats.org/officeDocument/2006/relationships/hyperlink" Target="https://www.doctrine.fr/?q=distribution&amp;source=fichekeywordlink" TargetMode="External"/><Relationship Id="rId160" Type="http://schemas.openxmlformats.org/officeDocument/2006/relationships/hyperlink" Target="https://www.doctrine.fr/e/ENT5DDABEF1783A1254C64C?source=decisionPageLink" TargetMode="External"/><Relationship Id="rId165" Type="http://schemas.openxmlformats.org/officeDocument/2006/relationships/hyperlink" Target="https://www.doctrine.fr/?q=contradictoire&amp;source=fichekeywordlink" TargetMode="External"/><Relationship Id="rId181" Type="http://schemas.openxmlformats.org/officeDocument/2006/relationships/hyperlink" Target="https://www.doctrine.fr/?q=appel&amp;source=fichekeywordlink" TargetMode="External"/><Relationship Id="rId186" Type="http://schemas.openxmlformats.org/officeDocument/2006/relationships/hyperlink" Target="https://www.doctrine.fr/l/LEGIARTI000006410693?source=legilink&amp;origin=CC9E3A652509FF9AC1E00" TargetMode="External"/><Relationship Id="rId22" Type="http://schemas.openxmlformats.org/officeDocument/2006/relationships/hyperlink" Target="https://www.doctrine.fr/?q=intervention&amp;source=fichekeywordlink" TargetMode="External"/><Relationship Id="rId27" Type="http://schemas.openxmlformats.org/officeDocument/2006/relationships/hyperlink" Target="https://www.doctrine.fr/?q=propri%C3%A9t%C3%A9&amp;source=fichekeywordlink" TargetMode="External"/><Relationship Id="rId43" Type="http://schemas.openxmlformats.org/officeDocument/2006/relationships/hyperlink" Target="https://www.doctrine.fr/?q=service%20public&amp;source=fichekeywordlink" TargetMode="External"/><Relationship Id="rId48" Type="http://schemas.openxmlformats.org/officeDocument/2006/relationships/hyperlink" Target="https://www.doctrine.fr/?q=%C3%A9tat&amp;source=fichekeywordlink" TargetMode="External"/><Relationship Id="rId64" Type="http://schemas.openxmlformats.org/officeDocument/2006/relationships/hyperlink" Target="https://www.doctrine.fr/l/LEGIARTI000023986738?source=legilink&amp;origin=CC9E3A652509FF9AC1E00" TargetMode="External"/><Relationship Id="rId69" Type="http://schemas.openxmlformats.org/officeDocument/2006/relationships/hyperlink" Target="https://www.doctrine.fr/?q=jurisprudence&amp;source=fichekeywordlink" TargetMode="External"/><Relationship Id="rId113" Type="http://schemas.openxmlformats.org/officeDocument/2006/relationships/hyperlink" Target="https://www.doctrine.fr/?q=partie&amp;source=fichekeywordlink" TargetMode="External"/><Relationship Id="rId118" Type="http://schemas.openxmlformats.org/officeDocument/2006/relationships/hyperlink" Target="https://www.doctrine.fr/?q=immeuble&amp;source=fichekeywordlink" TargetMode="External"/><Relationship Id="rId134" Type="http://schemas.openxmlformats.org/officeDocument/2006/relationships/hyperlink" Target="https://www.doctrine.fr/?q=exception&amp;source=fichekeywordlink" TargetMode="External"/><Relationship Id="rId139" Type="http://schemas.openxmlformats.org/officeDocument/2006/relationships/hyperlink" Target="https://www.doctrine.fr/?q=concession&amp;source=fichekeywordlink" TargetMode="External"/><Relationship Id="rId80" Type="http://schemas.openxmlformats.org/officeDocument/2006/relationships/hyperlink" Target="https://www.doctrine.fr/?q=condition&amp;source=fichekeywordlink" TargetMode="External"/><Relationship Id="rId85" Type="http://schemas.openxmlformats.org/officeDocument/2006/relationships/hyperlink" Target="https://www.doctrine.fr/?q=code&amp;source=fichekeywordlink" TargetMode="External"/><Relationship Id="rId150" Type="http://schemas.openxmlformats.org/officeDocument/2006/relationships/hyperlink" Target="https://www.doctrine.fr/?q=acceptation&amp;source=fichekeywordlink" TargetMode="External"/><Relationship Id="rId155" Type="http://schemas.openxmlformats.org/officeDocument/2006/relationships/hyperlink" Target="https://www.doctrine.fr/e/ENT5DDABEF1783A1254C64C?source=decisionPageLink" TargetMode="External"/><Relationship Id="rId171" Type="http://schemas.openxmlformats.org/officeDocument/2006/relationships/hyperlink" Target="https://www.doctrine.fr/?q=signification&amp;source=fichekeywordlink" TargetMode="External"/><Relationship Id="rId176" Type="http://schemas.openxmlformats.org/officeDocument/2006/relationships/hyperlink" Target="https://www.doctrine.fr/?q=code&amp;source=fichekeywordlink" TargetMode="External"/><Relationship Id="rId12" Type="http://schemas.openxmlformats.org/officeDocument/2006/relationships/hyperlink" Target="https://www.doctrine.fr/?q=barreau&amp;source=fichekeywordlink" TargetMode="External"/><Relationship Id="rId17" Type="http://schemas.openxmlformats.org/officeDocument/2006/relationships/hyperlink" Target="https://www.doctrine.fr/?q=audience&amp;source=fichekeywordlink" TargetMode="External"/><Relationship Id="rId33" Type="http://schemas.openxmlformats.org/officeDocument/2006/relationships/hyperlink" Target="https://www.doctrine.fr/?q=d%C3%A9pens&amp;source=fichekeywordlink" TargetMode="External"/><Relationship Id="rId38" Type="http://schemas.openxmlformats.org/officeDocument/2006/relationships/hyperlink" Target="https://www.doctrine.fr/?q=partie&amp;source=fichekeywordlink" TargetMode="External"/><Relationship Id="rId59" Type="http://schemas.openxmlformats.org/officeDocument/2006/relationships/hyperlink" Target="https://www.doctrine.fr/?q=d%C3%A9pens&amp;source=fichekeywordlink" TargetMode="External"/><Relationship Id="rId103" Type="http://schemas.openxmlformats.org/officeDocument/2006/relationships/hyperlink" Target="https://www.doctrine.fr/?q=propri%C3%A9t%C3%A9&amp;source=fichekeywordlink" TargetMode="External"/><Relationship Id="rId108" Type="http://schemas.openxmlformats.org/officeDocument/2006/relationships/hyperlink" Target="https://www.doctrine.fr/?q=signature&amp;source=fichekeywordlink" TargetMode="External"/><Relationship Id="rId124" Type="http://schemas.openxmlformats.org/officeDocument/2006/relationships/hyperlink" Target="https://www.doctrine.fr/?q=distribution&amp;source=fichekeywordlink" TargetMode="External"/><Relationship Id="rId129" Type="http://schemas.openxmlformats.org/officeDocument/2006/relationships/hyperlink" Target="https://www.doctrine.fr/l/LEGIARTI000020901510?source=legilink&amp;origin=CC9E3A652509FF9AC1E00" TargetMode="External"/><Relationship Id="rId54" Type="http://schemas.openxmlformats.org/officeDocument/2006/relationships/hyperlink" Target="https://www.doctrine.fr/?q=arr%C3%AAt&amp;source=fichekeywordlink" TargetMode="External"/><Relationship Id="rId70" Type="http://schemas.openxmlformats.org/officeDocument/2006/relationships/hyperlink" Target="https://www.doctrine.fr/?q=ordre&amp;source=fichekeywordlink" TargetMode="External"/><Relationship Id="rId75" Type="http://schemas.openxmlformats.org/officeDocument/2006/relationships/hyperlink" Target="https://www.doctrine.fr/?q=abandon&amp;source=fichekeywordlink" TargetMode="External"/><Relationship Id="rId91" Type="http://schemas.openxmlformats.org/officeDocument/2006/relationships/hyperlink" Target="https://www.doctrine.fr/?q=loi&amp;source=fichekeywordlink" TargetMode="External"/><Relationship Id="rId96" Type="http://schemas.openxmlformats.org/officeDocument/2006/relationships/hyperlink" Target="https://www.doctrine.fr/?q=partie&amp;source=fichekeywordlink" TargetMode="External"/><Relationship Id="rId140" Type="http://schemas.openxmlformats.org/officeDocument/2006/relationships/hyperlink" Target="https://www.doctrine.fr/?q=service%20public&amp;source=fichekeywordlink" TargetMode="External"/><Relationship Id="rId145" Type="http://schemas.openxmlformats.org/officeDocument/2006/relationships/hyperlink" Target="https://www.doctrine.fr/?q=condition&amp;source=fichekeywordlink" TargetMode="External"/><Relationship Id="rId161" Type="http://schemas.openxmlformats.org/officeDocument/2006/relationships/hyperlink" Target="https://www.doctrine.fr/?q=cause&amp;source=fichekeywordlink" TargetMode="External"/><Relationship Id="rId166" Type="http://schemas.openxmlformats.org/officeDocument/2006/relationships/hyperlink" Target="https://www.doctrine.fr/e/ENT5DDABEF1783A1254C64C?source=decisionPageLink" TargetMode="External"/><Relationship Id="rId182" Type="http://schemas.openxmlformats.org/officeDocument/2006/relationships/hyperlink" Target="https://www.doctrine.fr/l/LEGIARTI000025820558?source=legilink&amp;origin=CC9E3A652509FF9AC1E00" TargetMode="External"/><Relationship Id="rId187" Type="http://schemas.openxmlformats.org/officeDocument/2006/relationships/hyperlink" Target="https://www.doctrine.fr/?q=code&amp;source=fichekeyword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ctrine.fr/e/ENT52675B47DCB737D3731A?source=decisionPageLink" TargetMode="External"/><Relationship Id="rId23" Type="http://schemas.openxmlformats.org/officeDocument/2006/relationships/hyperlink" Target="https://www.doctrine.fr/?q=statut&amp;source=fichekeywordlink" TargetMode="External"/><Relationship Id="rId28" Type="http://schemas.openxmlformats.org/officeDocument/2006/relationships/hyperlink" Target="https://www.doctrine.fr/?q=abandon&amp;source=fichekeywordlink" TargetMode="External"/><Relationship Id="rId49" Type="http://schemas.openxmlformats.org/officeDocument/2006/relationships/hyperlink" Target="https://www.doctrine.fr/?q=%C3%A9tat&amp;source=fichekeywordlink" TargetMode="External"/><Relationship Id="rId114" Type="http://schemas.openxmlformats.org/officeDocument/2006/relationships/hyperlink" Target="https://www.doctrine.fr/?q=distribution&amp;source=fichekeywordlink" TargetMode="External"/><Relationship Id="rId119" Type="http://schemas.openxmlformats.org/officeDocument/2006/relationships/hyperlink" Target="https://www.doctrine.fr/?q=loi&amp;source=fichekeywordlink" TargetMode="External"/><Relationship Id="rId44" Type="http://schemas.openxmlformats.org/officeDocument/2006/relationships/hyperlink" Target="https://www.doctrine.fr/?q=distribution&amp;source=fichekeywordlink" TargetMode="External"/><Relationship Id="rId60" Type="http://schemas.openxmlformats.org/officeDocument/2006/relationships/hyperlink" Target="https://www.doctrine.fr/?q=soutenir&amp;source=fichekeywordlink" TargetMode="External"/><Relationship Id="rId65" Type="http://schemas.openxmlformats.org/officeDocument/2006/relationships/hyperlink" Target="https://www.doctrine.fr/?q=code&amp;source=fichekeywordlink" TargetMode="External"/><Relationship Id="rId81" Type="http://schemas.openxmlformats.org/officeDocument/2006/relationships/hyperlink" Target="https://www.doctrine.fr/?q=conclusions&amp;source=fichekeywordlink" TargetMode="External"/><Relationship Id="rId86" Type="http://schemas.openxmlformats.org/officeDocument/2006/relationships/hyperlink" Target="https://www.doctrine.fr/?q=proc%C3%A9dure%20civile&amp;source=fichekeywordlink" TargetMode="External"/><Relationship Id="rId130" Type="http://schemas.openxmlformats.org/officeDocument/2006/relationships/hyperlink" Target="https://www.doctrine.fr/?q=d%C3%A9cret&amp;source=fichekeywordlink" TargetMode="External"/><Relationship Id="rId135" Type="http://schemas.openxmlformats.org/officeDocument/2006/relationships/hyperlink" Target="https://www.doctrine.fr/?q=d%C3%A9cret&amp;source=fichekeywordlink" TargetMode="External"/><Relationship Id="rId151" Type="http://schemas.openxmlformats.org/officeDocument/2006/relationships/hyperlink" Target="https://www.doctrine.fr/?q=conseil%20d%E2%80%99administration&amp;source=fichekeywordlink" TargetMode="External"/><Relationship Id="rId156" Type="http://schemas.openxmlformats.org/officeDocument/2006/relationships/hyperlink" Target="https://www.doctrine.fr/?q=signification&amp;source=fichekeywordlink" TargetMode="External"/><Relationship Id="rId177" Type="http://schemas.openxmlformats.org/officeDocument/2006/relationships/hyperlink" Target="https://www.doctrine.fr/?q=proc%C3%A9dure%20civile&amp;source=fichekeywordlink" TargetMode="External"/><Relationship Id="rId172" Type="http://schemas.openxmlformats.org/officeDocument/2006/relationships/hyperlink" Target="https://www.doctrine.fr/?q=arr%C3%AAt&amp;source=fichekeywordlink" TargetMode="External"/><Relationship Id="rId13" Type="http://schemas.openxmlformats.org/officeDocument/2006/relationships/hyperlink" Target="https://www.doctrine.fr/p/avocat/LEFF17A9F36BE72128798?source=decisionPageLink" TargetMode="External"/><Relationship Id="rId18" Type="http://schemas.openxmlformats.org/officeDocument/2006/relationships/hyperlink" Target="https://www.doctrine.fr/?q=observations&amp;source=fichekeywordlink" TargetMode="External"/><Relationship Id="rId39" Type="http://schemas.openxmlformats.org/officeDocument/2006/relationships/hyperlink" Target="https://www.doctrine.fr/?q=abandon&amp;source=fichekeywordlink" TargetMode="External"/><Relationship Id="rId109" Type="http://schemas.openxmlformats.org/officeDocument/2006/relationships/hyperlink" Target="https://www.doctrine.fr/?q=concession&amp;source=fichekeywordlink" TargetMode="External"/><Relationship Id="rId34" Type="http://schemas.openxmlformats.org/officeDocument/2006/relationships/hyperlink" Target="https://www.doctrine.fr/?q=appel&amp;source=fichekeywordlink" TargetMode="External"/><Relationship Id="rId50" Type="http://schemas.openxmlformats.org/officeDocument/2006/relationships/hyperlink" Target="https://www.doctrine.fr/?q=cause&amp;source=fichekeywordlink" TargetMode="External"/><Relationship Id="rId55" Type="http://schemas.openxmlformats.org/officeDocument/2006/relationships/hyperlink" Target="https://www.doctrine.fr/?q=d%C3%A9bouter&amp;source=fichekeywordlink" TargetMode="External"/><Relationship Id="rId76" Type="http://schemas.openxmlformats.org/officeDocument/2006/relationships/hyperlink" Target="https://www.doctrine.fr/?q=propri%C3%A9t%C3%A9&amp;source=fichekeywordlink" TargetMode="External"/><Relationship Id="rId97" Type="http://schemas.openxmlformats.org/officeDocument/2006/relationships/hyperlink" Target="https://www.doctrine.fr/?q=concessionnaire&amp;source=fichekeywordlink" TargetMode="External"/><Relationship Id="rId104" Type="http://schemas.openxmlformats.org/officeDocument/2006/relationships/hyperlink" Target="https://www.doctrine.fr/l/LEGIARTI000032970965?source=legilink&amp;origin=CC9E3A652509FF9AC1E00" TargetMode="External"/><Relationship Id="rId120" Type="http://schemas.openxmlformats.org/officeDocument/2006/relationships/hyperlink" Target="https://www.doctrine.fr/?q=distribution&amp;source=fichekeywordlink" TargetMode="External"/><Relationship Id="rId125" Type="http://schemas.openxmlformats.org/officeDocument/2006/relationships/hyperlink" Target="https://www.doctrine.fr/?q=propri%C3%A9t%C3%A9&amp;source=fichekeywordlink" TargetMode="External"/><Relationship Id="rId141" Type="http://schemas.openxmlformats.org/officeDocument/2006/relationships/hyperlink" Target="https://www.doctrine.fr/?q=distribution&amp;source=fichekeywordlink" TargetMode="External"/><Relationship Id="rId146" Type="http://schemas.openxmlformats.org/officeDocument/2006/relationships/hyperlink" Target="https://www.doctrine.fr/?q=fond&amp;source=fichekeywordlink" TargetMode="External"/><Relationship Id="rId167" Type="http://schemas.openxmlformats.org/officeDocument/2006/relationships/hyperlink" Target="https://www.doctrine.fr/e/ENT5DDABEF1783A1254C64C?source=decisionPageLink" TargetMode="External"/><Relationship Id="rId188" Type="http://schemas.openxmlformats.org/officeDocument/2006/relationships/hyperlink" Target="https://www.doctrine.fr/?q=proc%C3%A9dure%20civile&amp;source=fichekeywordlink" TargetMode="External"/><Relationship Id="rId7" Type="http://schemas.openxmlformats.org/officeDocument/2006/relationships/hyperlink" Target="https://www.doctrine.fr/p/avocat/L665790D781CF3C8A4CE3?source=decisionPageLink" TargetMode="External"/><Relationship Id="rId71" Type="http://schemas.openxmlformats.org/officeDocument/2006/relationships/hyperlink" Target="https://www.doctrine.fr/?q=pr%C3%A9somption&amp;source=fichekeywordlink" TargetMode="External"/><Relationship Id="rId92" Type="http://schemas.openxmlformats.org/officeDocument/2006/relationships/hyperlink" Target="https://www.doctrine.fr/?q=distribution&amp;source=fichekeywordlink" TargetMode="External"/><Relationship Id="rId162" Type="http://schemas.openxmlformats.org/officeDocument/2006/relationships/hyperlink" Target="https://www.doctrine.fr/?q=appel&amp;source=fichekeywordlink" TargetMode="External"/><Relationship Id="rId183" Type="http://schemas.openxmlformats.org/officeDocument/2006/relationships/hyperlink" Target="https://www.doctrine.fr/?q=code&amp;source=fichekeywordlin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octrine.fr/e/ENT5DDABEF1783A1254C64C?source=decisionPageLink" TargetMode="External"/><Relationship Id="rId24" Type="http://schemas.openxmlformats.org/officeDocument/2006/relationships/hyperlink" Target="https://www.doctrine.fr/?q=copropri%C3%A9t%C3%A9&amp;source=fichekeywordlink" TargetMode="External"/><Relationship Id="rId40" Type="http://schemas.openxmlformats.org/officeDocument/2006/relationships/hyperlink" Target="https://www.doctrine.fr/?q=facult%C3%A9&amp;source=fichekeywordlink" TargetMode="External"/><Relationship Id="rId45" Type="http://schemas.openxmlformats.org/officeDocument/2006/relationships/hyperlink" Target="https://www.doctrine.fr/?q=commune&amp;source=fichekeywordlink" TargetMode="External"/><Relationship Id="rId66" Type="http://schemas.openxmlformats.org/officeDocument/2006/relationships/hyperlink" Target="https://www.doctrine.fr/?q=distribution&amp;source=fichekeywordlink" TargetMode="External"/><Relationship Id="rId87" Type="http://schemas.openxmlformats.org/officeDocument/2006/relationships/hyperlink" Target="https://www.doctrine.fr/?q=d%C3%A9pens&amp;source=fichekeywordlink" TargetMode="External"/><Relationship Id="rId110" Type="http://schemas.openxmlformats.org/officeDocument/2006/relationships/hyperlink" Target="https://www.doctrine.fr/?q=abandon&amp;source=fichekeywordlink" TargetMode="External"/><Relationship Id="rId115" Type="http://schemas.openxmlformats.org/officeDocument/2006/relationships/hyperlink" Target="https://www.doctrine.fr/?q=conclusions&amp;source=fichekeywordlink" TargetMode="External"/><Relationship Id="rId131" Type="http://schemas.openxmlformats.org/officeDocument/2006/relationships/hyperlink" Target="https://www.doctrine.fr/?q=loi&amp;source=fichekeywordlink" TargetMode="External"/><Relationship Id="rId136" Type="http://schemas.openxmlformats.org/officeDocument/2006/relationships/hyperlink" Target="https://www.doctrine.fr/?q=immeuble&amp;source=fichekeywordlink" TargetMode="External"/><Relationship Id="rId157" Type="http://schemas.openxmlformats.org/officeDocument/2006/relationships/hyperlink" Target="https://www.doctrine.fr/?q=astreinte&amp;source=fichekeywordlink" TargetMode="External"/><Relationship Id="rId178" Type="http://schemas.openxmlformats.org/officeDocument/2006/relationships/hyperlink" Target="https://www.doctrine.fr/e/ENT5DDABEF1783A1254C64C?source=decisionPageLink" TargetMode="External"/><Relationship Id="rId61" Type="http://schemas.openxmlformats.org/officeDocument/2006/relationships/hyperlink" Target="https://www.doctrine.fr/?q=distribution&amp;source=fichekeywordlink" TargetMode="External"/><Relationship Id="rId82" Type="http://schemas.openxmlformats.org/officeDocument/2006/relationships/hyperlink" Target="https://www.doctrine.fr/e/ENT5DDABEF1783A1254C64C?source=decisionPageLink" TargetMode="External"/><Relationship Id="rId152" Type="http://schemas.openxmlformats.org/officeDocument/2006/relationships/hyperlink" Target="https://www.doctrine.fr/?q=abandon&amp;source=fichekeywordlink" TargetMode="External"/><Relationship Id="rId173" Type="http://schemas.openxmlformats.org/officeDocument/2006/relationships/hyperlink" Target="https://www.doctrine.fr/e/ENT5DDABEF1783A1254C64C?source=decisionPageLink" TargetMode="External"/><Relationship Id="rId19" Type="http://schemas.openxmlformats.org/officeDocument/2006/relationships/hyperlink" Target="https://www.doctrine.fr/?q=d%C3%A9lib%C3%A9r%C3%A9&amp;source=fichekeywordlink" TargetMode="External"/><Relationship Id="rId14" Type="http://schemas.openxmlformats.org/officeDocument/2006/relationships/hyperlink" Target="https://www.doctrine.fr/?q=barreau&amp;source=fichekeywordlink" TargetMode="External"/><Relationship Id="rId30" Type="http://schemas.openxmlformats.org/officeDocument/2006/relationships/hyperlink" Target="https://www.doctrine.fr/l/LEGIARTI000028424729?source=legilink&amp;origin=CC9E3A652509FF9AC1E00" TargetMode="External"/><Relationship Id="rId35" Type="http://schemas.openxmlformats.org/officeDocument/2006/relationships/hyperlink" Target="https://www.doctrine.fr/?q=conclusions&amp;source=fichekeywordlink" TargetMode="External"/><Relationship Id="rId56" Type="http://schemas.openxmlformats.org/officeDocument/2006/relationships/hyperlink" Target="https://www.doctrine.fr/l/LEGIARTI000028424729?source=legilink&amp;origin=CC9E3A652509FF9AC1E00" TargetMode="External"/><Relationship Id="rId77" Type="http://schemas.openxmlformats.org/officeDocument/2006/relationships/hyperlink" Target="https://www.doctrine.fr/?q=abandon&amp;source=fichekeywordlink" TargetMode="External"/><Relationship Id="rId100" Type="http://schemas.openxmlformats.org/officeDocument/2006/relationships/hyperlink" Target="https://www.doctrine.fr/?q=propri%C3%A9t%C3%A9&amp;source=fichekeywordlink" TargetMode="External"/><Relationship Id="rId105" Type="http://schemas.openxmlformats.org/officeDocument/2006/relationships/hyperlink" Target="https://www.doctrine.fr/?q=code&amp;source=fichekeywordlink" TargetMode="External"/><Relationship Id="rId126" Type="http://schemas.openxmlformats.org/officeDocument/2006/relationships/hyperlink" Target="https://www.doctrine.fr/?q=exception&amp;source=fichekeywordlink" TargetMode="External"/><Relationship Id="rId147" Type="http://schemas.openxmlformats.org/officeDocument/2006/relationships/hyperlink" Target="https://www.doctrine.fr/?q=%C3%A9tat&amp;source=fichekeywordlink" TargetMode="External"/><Relationship Id="rId168" Type="http://schemas.openxmlformats.org/officeDocument/2006/relationships/hyperlink" Target="https://www.doctrine.fr/e/ENT5DDABEF1783A1254C64C?source=decisionPageLink" TargetMode="External"/><Relationship Id="rId8" Type="http://schemas.openxmlformats.org/officeDocument/2006/relationships/hyperlink" Target="https://www.doctrine.fr/?q=barreau&amp;source=fichekeywordlink" TargetMode="External"/><Relationship Id="rId51" Type="http://schemas.openxmlformats.org/officeDocument/2006/relationships/hyperlink" Target="https://www.doctrine.fr/?q=astreinte&amp;source=fichekeywordlink" TargetMode="External"/><Relationship Id="rId72" Type="http://schemas.openxmlformats.org/officeDocument/2006/relationships/hyperlink" Target="https://www.doctrine.fr/?q=propri%C3%A9t%C3%A9&amp;source=fichekeywordlink" TargetMode="External"/><Relationship Id="rId93" Type="http://schemas.openxmlformats.org/officeDocument/2006/relationships/hyperlink" Target="https://www.doctrine.fr/?q=d%C3%A9cret&amp;source=fichekeywordlink" TargetMode="External"/><Relationship Id="rId98" Type="http://schemas.openxmlformats.org/officeDocument/2006/relationships/hyperlink" Target="https://www.doctrine.fr/?q=unilat%C3%A9ral&amp;source=fichekeywordlink" TargetMode="External"/><Relationship Id="rId121" Type="http://schemas.openxmlformats.org/officeDocument/2006/relationships/hyperlink" Target="https://www.doctrine.fr/?q=d%C3%A9cret&amp;source=fichekeywordlink" TargetMode="External"/><Relationship Id="rId142" Type="http://schemas.openxmlformats.org/officeDocument/2006/relationships/hyperlink" Target="https://www.doctrine.fr/?q=abandon&amp;source=fichekeywordlink" TargetMode="External"/><Relationship Id="rId163" Type="http://schemas.openxmlformats.org/officeDocument/2006/relationships/hyperlink" Target="https://www.doctrine.fr/?q=d%C3%A9pens&amp;source=fichekeywordlink" TargetMode="External"/><Relationship Id="rId184" Type="http://schemas.openxmlformats.org/officeDocument/2006/relationships/hyperlink" Target="https://www.doctrine.fr/?q=proc%C3%A9dure%20civile&amp;source=fichekeywordlink" TargetMode="External"/><Relationship Id="rId189" Type="http://schemas.openxmlformats.org/officeDocument/2006/relationships/hyperlink" Target="https://www.doctrine.fr/?q=magistrat&amp;source=fichekeywordlin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ctrine.fr/?q=instance&amp;source=fichekeywordlink" TargetMode="External"/><Relationship Id="rId46" Type="http://schemas.openxmlformats.org/officeDocument/2006/relationships/hyperlink" Target="https://www.doctrine.fr/?q=condition&amp;source=fichekeywordlink" TargetMode="External"/><Relationship Id="rId67" Type="http://schemas.openxmlformats.org/officeDocument/2006/relationships/hyperlink" Target="https://www.doctrine.fr/?q=concession&amp;source=fichekeywordlink" TargetMode="External"/><Relationship Id="rId116" Type="http://schemas.openxmlformats.org/officeDocument/2006/relationships/hyperlink" Target="https://www.doctrine.fr/?q=litige&amp;source=fichekeywordlink" TargetMode="External"/><Relationship Id="rId137" Type="http://schemas.openxmlformats.org/officeDocument/2006/relationships/hyperlink" Target="https://www.doctrine.fr/?q=propri%C3%A9t%C3%A9&amp;source=fichekeywordlink" TargetMode="External"/><Relationship Id="rId158" Type="http://schemas.openxmlformats.org/officeDocument/2006/relationships/hyperlink" Target="https://www.doctrine.fr/?q=d%C3%A9lai&amp;source=fichekeywordlink" TargetMode="External"/><Relationship Id="rId20" Type="http://schemas.openxmlformats.org/officeDocument/2006/relationships/hyperlink" Target="https://www.doctrine.fr/?q=arr%C3%AAt&amp;source=fichekeywordlink" TargetMode="External"/><Relationship Id="rId41" Type="http://schemas.openxmlformats.org/officeDocument/2006/relationships/hyperlink" Target="https://www.doctrine.fr/?q=abandon&amp;source=fichekeywordlink" TargetMode="External"/><Relationship Id="rId62" Type="http://schemas.openxmlformats.org/officeDocument/2006/relationships/hyperlink" Target="https://www.doctrine.fr/l/LEGIARTI000032970965?source=legilink&amp;origin=CC9E3A652509FF9AC1E00" TargetMode="External"/><Relationship Id="rId83" Type="http://schemas.openxmlformats.org/officeDocument/2006/relationships/hyperlink" Target="https://www.doctrine.fr/?q=titre&amp;source=fichekeywordlink" TargetMode="External"/><Relationship Id="rId88" Type="http://schemas.openxmlformats.org/officeDocument/2006/relationships/hyperlink" Target="https://www.doctrine.fr/?q=titre&amp;source=fichekeywordlink" TargetMode="External"/><Relationship Id="rId111" Type="http://schemas.openxmlformats.org/officeDocument/2006/relationships/hyperlink" Target="https://www.doctrine.fr/?q=concessionnaire&amp;source=fichekeywordlink" TargetMode="External"/><Relationship Id="rId132" Type="http://schemas.openxmlformats.org/officeDocument/2006/relationships/hyperlink" Target="https://www.doctrine.fr/?q=acceptation&amp;source=fichekeywordlink" TargetMode="External"/><Relationship Id="rId153" Type="http://schemas.openxmlformats.org/officeDocument/2006/relationships/hyperlink" Target="https://www.doctrine.fr/e/ENT5DDABEF1783A1254C64C?source=decisionPageLink" TargetMode="External"/><Relationship Id="rId174" Type="http://schemas.openxmlformats.org/officeDocument/2006/relationships/hyperlink" Target="https://www.doctrine.fr/?q=titre&amp;source=fichekeywordlink" TargetMode="External"/><Relationship Id="rId179" Type="http://schemas.openxmlformats.org/officeDocument/2006/relationships/hyperlink" Target="https://www.doctrine.fr/?q=d%C3%A9pens&amp;source=fichekeywordlink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doctrine.fr/?q=chambre&amp;source=fichekeywordlink" TargetMode="External"/><Relationship Id="rId36" Type="http://schemas.openxmlformats.org/officeDocument/2006/relationships/hyperlink" Target="https://www.doctrine.fr/?q=infirmer&amp;source=fichekeywordlink" TargetMode="External"/><Relationship Id="rId57" Type="http://schemas.openxmlformats.org/officeDocument/2006/relationships/hyperlink" Target="https://www.doctrine.fr/?q=code&amp;source=fichekeywordlink" TargetMode="External"/><Relationship Id="rId106" Type="http://schemas.openxmlformats.org/officeDocument/2006/relationships/hyperlink" Target="https://www.doctrine.fr/l/LEGIARTI000023986738?source=legilink&amp;origin=CC9E3A652509FF9AC1E00" TargetMode="External"/><Relationship Id="rId127" Type="http://schemas.openxmlformats.org/officeDocument/2006/relationships/hyperlink" Target="https://www.doctrine.fr/?q=immeuble&amp;source=fichekeywordlink" TargetMode="External"/><Relationship Id="rId10" Type="http://schemas.openxmlformats.org/officeDocument/2006/relationships/hyperlink" Target="https://www.doctrine.fr/p/avocat/LA80CFA83CD5226B1AED2?source=decisionPageLink" TargetMode="External"/><Relationship Id="rId31" Type="http://schemas.openxmlformats.org/officeDocument/2006/relationships/hyperlink" Target="https://www.doctrine.fr/?q=code&amp;source=fichekeywordlink" TargetMode="External"/><Relationship Id="rId52" Type="http://schemas.openxmlformats.org/officeDocument/2006/relationships/hyperlink" Target="https://www.doctrine.fr/?q=d%C3%A9lai&amp;source=fichekeywordlink" TargetMode="External"/><Relationship Id="rId73" Type="http://schemas.openxmlformats.org/officeDocument/2006/relationships/hyperlink" Target="https://www.doctrine.fr/?q=charge&amp;source=fichekeywordlink" TargetMode="External"/><Relationship Id="rId78" Type="http://schemas.openxmlformats.org/officeDocument/2006/relationships/hyperlink" Target="https://www.doctrine.fr/?q=facult%C3%A9&amp;source=fichekeywordlink" TargetMode="External"/><Relationship Id="rId94" Type="http://schemas.openxmlformats.org/officeDocument/2006/relationships/hyperlink" Target="https://www.doctrine.fr/?q=concession&amp;source=fichekeywordlink" TargetMode="External"/><Relationship Id="rId99" Type="http://schemas.openxmlformats.org/officeDocument/2006/relationships/hyperlink" Target="https://www.doctrine.fr/?q=abandon&amp;source=fichekeywordlink" TargetMode="External"/><Relationship Id="rId101" Type="http://schemas.openxmlformats.org/officeDocument/2006/relationships/hyperlink" Target="https://www.doctrine.fr/?q=conseil%20d%E2%80%99administration&amp;source=fichekeywordlink" TargetMode="External"/><Relationship Id="rId122" Type="http://schemas.openxmlformats.org/officeDocument/2006/relationships/hyperlink" Target="https://www.doctrine.fr/?q=publication&amp;source=fichekeywordlink" TargetMode="External"/><Relationship Id="rId143" Type="http://schemas.openxmlformats.org/officeDocument/2006/relationships/hyperlink" Target="https://www.doctrine.fr/?q=concessionnaire&amp;source=fichekeywordlink" TargetMode="External"/><Relationship Id="rId148" Type="http://schemas.openxmlformats.org/officeDocument/2006/relationships/hyperlink" Target="https://www.doctrine.fr/e/ENT5DDABEF1783A1254C64C?source=decisionPageLink" TargetMode="External"/><Relationship Id="rId164" Type="http://schemas.openxmlformats.org/officeDocument/2006/relationships/hyperlink" Target="https://www.doctrine.fr/?q=arr%C3%AAt&amp;source=fichekeywordlink" TargetMode="External"/><Relationship Id="rId169" Type="http://schemas.openxmlformats.org/officeDocument/2006/relationships/hyperlink" Target="https://www.doctrine.fr/?q=astreinte&amp;source=fichekeywordlink" TargetMode="External"/><Relationship Id="rId185" Type="http://schemas.openxmlformats.org/officeDocument/2006/relationships/hyperlink" Target="https://www.doctrine.fr/?q=arr%C3%AAt&amp;source=fichekeyword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trine.fr/e/ENT5DDABEF1783A1254C64C?source=decisionPageLink" TargetMode="External"/><Relationship Id="rId180" Type="http://schemas.openxmlformats.org/officeDocument/2006/relationships/hyperlink" Target="https://www.doctrine.fr/?q=instance&amp;source=fichekeyword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4067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DE REGULATION DE L'ENERGIE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Sablière Pierre</dc:creator>
  <cp:lastModifiedBy>Sablière Pierre</cp:lastModifiedBy>
  <cp:revision>3</cp:revision>
  <dcterms:created xsi:type="dcterms:W3CDTF">2019-02-20T10:12:00Z</dcterms:created>
  <dcterms:modified xsi:type="dcterms:W3CDTF">2019-02-20T10:31:00Z</dcterms:modified>
</cp:coreProperties>
</file>